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pStyle w:val="Title"/>
      </w:pPr>
      <w:r>
        <w:t>Hallazgos y pendientes Qhawana</w:t>
      </w:r>
    </w:p>
    <w:p/>
    <w:p/>
    <w:p>
      <w:r>
        <w:br w:type="page"/>
      </w:r>
    </w:p>
    <w:p>
      <w:pPr>
        <w:pStyle w:val="Heading1"/>
      </w:pPr>
      <w:r>
        <w:t>Índice</w:t>
      </w:r>
    </w:p>
    <w:p>
      <w:pPr>
        <w:pStyle w:val="TOC1"/>
      </w:pPr>
      <w:r>
        <w:fldChar w:fldCharType="begin"/>
      </w:r>
      <w:r>
        <w:instrText xml:space="preserve"> TOC \o "1-2" \h \z \u </w:instrText>
      </w:r>
      <w:r>
        <w:fldChar w:fldCharType="separate"/>
      </w:r>
      <w:r>
        <w:t>Última actualización</w:t>
        <w:tab/>
      </w:r>
    </w:p>
    <w:p>
      <w:pPr>
        <w:pStyle w:val="TOC1"/>
      </w:pPr>
      <w:r>
        <w:t>Resumen</w:t>
        <w:tab/>
      </w:r>
    </w:p>
    <w:p>
      <w:pPr>
        <w:pStyle w:val="TOC1"/>
      </w:pPr>
      <w:r>
        <w:t>Tabla de hallazgos</w:t>
        <w:tab/>
      </w:r>
    </w:p>
    <w:p>
      <w:pPr>
        <w:pStyle w:val="TOC1"/>
      </w:pPr>
      <w:r>
        <w:t>A) Correcciones a hacer en Qhawana</w:t>
        <w:tab/>
      </w:r>
    </w:p>
    <w:p>
      <w:pPr>
        <w:pStyle w:val="TOC1"/>
      </w:pPr>
      <w:r>
        <w:t>B) Proyectos con información pública insuficiente o dudosos</w:t>
        <w:tab/>
      </w:r>
    </w:p>
    <w:p>
      <w:pPr>
        <w:pStyle w:val="TOC1"/>
      </w:pPr>
      <w:r>
        <w:t>C) Fallas y mejoras del flujo</w:t>
        <w:tab/>
      </w:r>
    </w:p>
    <w:p>
      <w:pPr>
        <w:pStyle w:val="TOC1"/>
      </w:pPr>
      <w:r>
        <w:t>D) Decisiones pendientes</w:t>
        <w:tab/>
      </w:r>
    </w:p>
    <w:p>
      <w:pPr>
        <w:pStyle w:val="TOC1"/>
      </w:pPr>
      <w:r>
        <w:t>E) Historial de resueltos</w:t>
        <w:tab/>
      </w:r>
      <w:r>
        <w:fldChar w:fldCharType="end"/>
      </w:r>
    </w:p>
    <w:p>
      <w:r>
        <w:br w:type="page"/>
      </w:r>
    </w:p>
    <w:p>
      <w:pPr>
        <w:pStyle w:val="Heading1"/>
      </w:pPr>
      <w:r>
        <w:t>Última actualización</w:t>
      </w:r>
    </w:p>
    <w:p>
      <w:pPr>
        <w:jc w:val="both"/>
      </w:pPr>
      <w:r>
        <w:rPr/>
        <w:t>2026-10-30, 23:45 (hora de Buenos Aires), con la guía v2.4.1 (datos reales sobre datos de ficha). Documento único y vivo: se actualiza cada vez que aparece un error, falla, sugerencia o informe con información insuficiente.</w:t>
      </w:r>
    </w:p>
    <w:p>
      <w:r>
        <w:br w:type="page"/>
      </w:r>
    </w:p>
    <w:p>
      <w:pPr>
        <w:pStyle w:val="Heading1"/>
      </w:pPr>
      <w:r>
        <w:t>Resumen</w:t>
      </w:r>
    </w:p>
    <w:p>
      <w:pPr>
        <w:jc w:val="both"/>
      </w:pPr>
      <w:r>
        <w:rPr/>
        <w:t>Se registran 30 hallazgos: 10 correcciones o revisiones a hacer en fichas de Qhawana, 3 proyectos con información pública insuficiente o dudosa, 5 errores de informes publicados previos (4 ya reemplazados por borradores nuevos), 7 fallas, mejoras u observaciones del flujo (3 resueltas), 3 decisiones (2 resueltas) 1 caso cerrado (near-duplicados verificados) y 1 corrección de la guía resuelta (H30). Criterio: manda el dato verificado por los informes; lo que dice la ficha va entre paréntesis. Tanda 2 cerrada: 4 informes publicados en borrador (1177, 1091, 1087 y 1082) y 1 descartado (1063). Tanda 3 cerrada: 5 informes publicados en borrador (1187, 1191, 1190, 1189 y 1074); el sitio tiene 24 informes. Este documento forma parte de la guía maestra desde la v2.2 (sección 13.4 y Anexo I) y se publica en el sitio web. Desde el equipo de bots solo se hacen lecturas (GET) a Qhawana; toda corrección en las fichas la hace Marcelo.</w:t>
      </w:r>
    </w:p>
    <w:p>
      <w:r>
        <w:br w:type="page"/>
      </w:r>
    </w:p>
    <w:p>
      <w:pPr>
        <w:pStyle w:val="Heading1"/>
      </w:pPr>
      <w:r>
        <w:t>Tabla de hallazgos</w:t>
      </w:r>
    </w:p>
    <w:tbl>
      <w:tblPr>
        <w:tblStyle w:val="TableGrid"/>
        <w:tblW w:type="auto" w:w="0"/>
        <w:jc w:val="center"/>
        <w:tblLayout w:type="fixed"/>
        <w:tblLook w:firstColumn="1" w:firstRow="1" w:lastColumn="0" w:lastRow="0" w:noHBand="0" w:noVBand="1" w:val="04A0"/>
        <w:tblBorders>
          <w:top w:val="single" w:sz="4" w:space="0" w:color="A6B8CC"/>
          <w:left w:val="single" w:sz="4" w:space="0" w:color="A6B8CC"/>
          <w:bottom w:val="single" w:sz="4" w:space="0" w:color="A6B8CC"/>
          <w:right w:val="single" w:sz="4" w:space="0" w:color="A6B8CC"/>
          <w:insideH w:val="single" w:sz="4" w:space="0" w:color="A6B8CC"/>
          <w:insideV w:val="single" w:sz="4" w:space="0" w:color="A6B8CC"/>
        </w:tblBorders>
      </w:tblPr>
      <w:tblGrid>
        <w:gridCol w:w="409"/>
        <w:gridCol w:w="970"/>
        <w:gridCol w:w="1211"/>
        <w:gridCol w:w="1371"/>
        <w:gridCol w:w="1898"/>
        <w:gridCol w:w="1291"/>
        <w:gridCol w:w="1050"/>
        <w:gridCol w:w="1211"/>
      </w:tblGrid>
      <w:tr>
        <w:trPr>
          <w:tblHeader w:val="true"/>
          <w:cantSplit/>
        </w:trPr>
        <w:tc>
          <w:tcPr>
            <w:tcW w:type="dxa" w:w="409"/>
            <w:shd w:val="clear" w:color="auto" w:fill="1F3A5F"/>
          </w:tcPr>
          <w:p>
            <w:pPr>
              <w:spacing w:after="0" w:line="240" w:lineRule="auto"/>
            </w:pPr>
            <w:r>
              <w:rPr>
                <w:b/>
                <w:color w:val="FFFFFF"/>
                <w:sz w:val="16"/>
              </w:rPr>
              <w:t>ID</w:t>
            </w:r>
          </w:p>
        </w:tc>
        <w:tc>
          <w:tcPr>
            <w:tcW w:type="dxa" w:w="970"/>
            <w:shd w:val="clear" w:color="auto" w:fill="1F3A5F"/>
          </w:tcPr>
          <w:p>
            <w:pPr>
              <w:spacing w:after="0" w:line="240" w:lineRule="auto"/>
            </w:pPr>
            <w:r>
              <w:rPr>
                <w:b/>
                <w:color w:val="FFFFFF"/>
                <w:sz w:val="16"/>
              </w:rPr>
              <w:t>Fecha</w:t>
            </w:r>
          </w:p>
        </w:tc>
        <w:tc>
          <w:tcPr>
            <w:tcW w:type="dxa" w:w="1211"/>
            <w:shd w:val="clear" w:color="auto" w:fill="1F3A5F"/>
          </w:tcPr>
          <w:p>
            <w:pPr>
              <w:spacing w:after="0" w:line="240" w:lineRule="auto"/>
            </w:pPr>
            <w:r>
              <w:rPr>
                <w:b/>
                <w:color w:val="FFFFFF"/>
                <w:sz w:val="16"/>
              </w:rPr>
              <w:t>Tipo</w:t>
            </w:r>
          </w:p>
        </w:tc>
        <w:tc>
          <w:tcPr>
            <w:tcW w:type="dxa" w:w="1371"/>
            <w:shd w:val="clear" w:color="auto" w:fill="1F3A5F"/>
          </w:tcPr>
          <w:p>
            <w:pPr>
              <w:spacing w:after="0" w:line="240" w:lineRule="auto"/>
            </w:pPr>
            <w:r>
              <w:rPr>
                <w:b/>
                <w:color w:val="FFFFFF"/>
                <w:sz w:val="16"/>
              </w:rPr>
              <w:t>Proyecto</w:t>
            </w:r>
          </w:p>
        </w:tc>
        <w:tc>
          <w:tcPr>
            <w:tcW w:type="dxa" w:w="1898"/>
            <w:shd w:val="clear" w:color="auto" w:fill="1F3A5F"/>
          </w:tcPr>
          <w:p>
            <w:pPr>
              <w:spacing w:after="0" w:line="240" w:lineRule="auto"/>
            </w:pPr>
            <w:r>
              <w:rPr>
                <w:b/>
                <w:color w:val="FFFFFF"/>
                <w:sz w:val="16"/>
              </w:rPr>
              <w:t>Descripción</w:t>
            </w:r>
          </w:p>
        </w:tc>
        <w:tc>
          <w:tcPr>
            <w:tcW w:type="dxa" w:w="1291"/>
            <w:shd w:val="clear" w:color="auto" w:fill="1F3A5F"/>
          </w:tcPr>
          <w:p>
            <w:pPr>
              <w:spacing w:after="0" w:line="240" w:lineRule="auto"/>
            </w:pPr>
            <w:r>
              <w:rPr>
                <w:b/>
                <w:color w:val="FFFFFF"/>
                <w:sz w:val="16"/>
              </w:rPr>
              <w:t>Acción sugerida</w:t>
            </w:r>
          </w:p>
        </w:tc>
        <w:tc>
          <w:tcPr>
            <w:tcW w:type="dxa" w:w="1050"/>
            <w:shd w:val="clear" w:color="auto" w:fill="1F3A5F"/>
          </w:tcPr>
          <w:p>
            <w:pPr>
              <w:spacing w:after="0" w:line="240" w:lineRule="auto"/>
            </w:pPr>
            <w:r>
              <w:rPr>
                <w:b/>
                <w:color w:val="FFFFFF"/>
                <w:sz w:val="16"/>
              </w:rPr>
              <w:t>Responsable</w:t>
            </w:r>
          </w:p>
        </w:tc>
        <w:tc>
          <w:tcPr>
            <w:tcW w:type="dxa" w:w="1211"/>
            <w:shd w:val="clear" w:color="auto" w:fill="1F3A5F"/>
          </w:tcPr>
          <w:p>
            <w:pPr>
              <w:spacing w:after="0" w:line="240" w:lineRule="auto"/>
            </w:pPr>
            <w:r>
              <w:rPr>
                <w:b/>
                <w:color w:val="FFFFFF"/>
                <w:sz w:val="16"/>
              </w:rPr>
              <w:t>Estado</w:t>
            </w:r>
          </w:p>
        </w:tc>
      </w:tr>
      <w:tr>
        <w:trPr>
          <w:cantSplit/>
        </w:trPr>
        <w:tc>
          <w:tcPr>
            <w:tcW w:type="dxa" w:w="409"/>
          </w:tcPr>
          <w:p>
            <w:pPr>
              <w:spacing w:after="0" w:line="240" w:lineRule="auto"/>
            </w:pPr>
            <w:r>
              <w:rPr>
                <w:sz w:val="16"/>
              </w:rPr>
              <w:t>H01</w:t>
            </w:r>
          </w:p>
        </w:tc>
        <w:tc>
          <w:tcPr>
            <w:tcW w:type="dxa" w:w="970"/>
          </w:tcPr>
          <w:p>
            <w:pPr>
              <w:spacing w:after="0" w:line="240" w:lineRule="auto"/>
            </w:pPr>
            <w:r>
              <w:rPr>
                <w:sz w:val="16"/>
              </w:rPr>
              <w:t>2026-10-30</w:t>
            </w:r>
          </w:p>
        </w:tc>
        <w:tc>
          <w:tcPr>
            <w:tcW w:type="dxa" w:w="1211"/>
          </w:tcPr>
          <w:p>
            <w:pPr>
              <w:spacing w:after="0" w:line="240" w:lineRule="auto"/>
            </w:pPr>
            <w:r>
              <w:rPr>
                <w:sz w:val="16"/>
              </w:rPr>
              <w:t>Dato incorrecto en ficha Qhawana</w:t>
            </w:r>
          </w:p>
        </w:tc>
        <w:tc>
          <w:tcPr>
            <w:tcW w:type="dxa" w:w="1371"/>
          </w:tcPr>
          <w:p>
            <w:pPr>
              <w:spacing w:after="0" w:line="240" w:lineRule="auto"/>
            </w:pPr>
            <w:r>
              <w:rPr>
                <w:sz w:val="16"/>
              </w:rPr>
              <w:t>1080 Sal de la Puna</w:t>
            </w:r>
          </w:p>
        </w:tc>
        <w:tc>
          <w:tcPr>
            <w:tcW w:type="dxa" w:w="1898"/>
          </w:tcPr>
          <w:p>
            <w:pPr>
              <w:spacing w:after="0" w:line="240" w:lineRule="auto"/>
            </w:pPr>
            <w:r>
              <w:rPr>
                <w:sz w:val="16"/>
              </w:rPr>
              <w:t>Duplica las coordenadas de 1177 (-25,24472 / -66,74833). 1080 está en Pastos Grandes. Confirmado por el Comparador al cerrar 1177.</w:t>
            </w:r>
          </w:p>
        </w:tc>
        <w:tc>
          <w:tcPr>
            <w:tcW w:type="dxa" w:w="1291"/>
          </w:tcPr>
          <w:p>
            <w:pPr>
              <w:spacing w:after="0" w:line="240" w:lineRule="auto"/>
            </w:pPr>
            <w:r>
              <w:rPr>
                <w:sz w:val="16"/>
              </w:rPr>
              <w:t>Corregir coordenadas de 1080</w:t>
            </w:r>
          </w:p>
        </w:tc>
        <w:tc>
          <w:tcPr>
            <w:tcW w:type="dxa" w:w="1050"/>
          </w:tcPr>
          <w:p>
            <w:pPr>
              <w:spacing w:after="0" w:line="240" w:lineRule="auto"/>
            </w:pPr>
            <w:r>
              <w:rPr>
                <w:sz w:val="16"/>
              </w:rPr>
              <w:t>Marcelo en Qhawana</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H02</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Dato incorrecto en ficha Qhawana</w:t>
            </w:r>
          </w:p>
        </w:tc>
        <w:tc>
          <w:tcPr>
            <w:tcW w:type="dxa" w:w="1371"/>
            <w:shd w:val="clear" w:color="auto" w:fill="EEF2F7"/>
          </w:tcPr>
          <w:p>
            <w:pPr>
              <w:spacing w:after="0" w:line="240" w:lineRule="auto"/>
            </w:pPr>
            <w:r>
              <w:rPr>
                <w:sz w:val="16"/>
              </w:rPr>
              <w:t>1063 Arizaro</w:t>
            </w:r>
          </w:p>
        </w:tc>
        <w:tc>
          <w:tcPr>
            <w:tcW w:type="dxa" w:w="1898"/>
            <w:shd w:val="clear" w:color="auto" w:fill="EEF2F7"/>
          </w:tcPr>
          <w:p>
            <w:pPr>
              <w:spacing w:after="0" w:line="240" w:lineRule="auto"/>
            </w:pPr>
            <w:r>
              <w:rPr>
                <w:sz w:val="16"/>
              </w:rPr>
              <w:t>Controlador atribuido a Aldebaran Resources, que no tiene concesión Arizaro (en Salta solo Río Grande y Silvina, de Centauri Minerals desde 27/08/2026). El HTML publicado es un análisis de Altar (San Juan).</w:t>
            </w:r>
          </w:p>
        </w:tc>
        <w:tc>
          <w:tcPr>
            <w:tcW w:type="dxa" w:w="1291"/>
            <w:shd w:val="clear" w:color="auto" w:fill="EEF2F7"/>
          </w:tcPr>
          <w:p>
            <w:pPr>
              <w:spacing w:after="0" w:line="240" w:lineRule="auto"/>
            </w:pPr>
            <w:r>
              <w:rPr>
                <w:sz w:val="16"/>
              </w:rPr>
              <w:t>Revisar si es duplicado de 1391 o darlo de baja</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H03</w:t>
            </w:r>
          </w:p>
        </w:tc>
        <w:tc>
          <w:tcPr>
            <w:tcW w:type="dxa" w:w="970"/>
          </w:tcPr>
          <w:p>
            <w:pPr>
              <w:spacing w:after="0" w:line="240" w:lineRule="auto"/>
            </w:pPr>
            <w:r>
              <w:rPr>
                <w:sz w:val="16"/>
              </w:rPr>
              <w:t>2026-10-30</w:t>
            </w:r>
          </w:p>
        </w:tc>
        <w:tc>
          <w:tcPr>
            <w:tcW w:type="dxa" w:w="1211"/>
          </w:tcPr>
          <w:p>
            <w:pPr>
              <w:spacing w:after="0" w:line="240" w:lineRule="auto"/>
            </w:pPr>
            <w:r>
              <w:rPr>
                <w:sz w:val="16"/>
              </w:rPr>
              <w:t>Error en informe publicado</w:t>
            </w:r>
          </w:p>
        </w:tc>
        <w:tc>
          <w:tcPr>
            <w:tcW w:type="dxa" w:w="1371"/>
          </w:tcPr>
          <w:p>
            <w:pPr>
              <w:spacing w:after="0" w:line="240" w:lineRule="auto"/>
            </w:pPr>
            <w:r>
              <w:rPr>
                <w:sz w:val="16"/>
              </w:rPr>
              <w:t>1087 Cangrejillos</w:t>
            </w:r>
          </w:p>
        </w:tc>
        <w:tc>
          <w:tcPr>
            <w:tcW w:type="dxa" w:w="1898"/>
          </w:tcPr>
          <w:p>
            <w:pPr>
              <w:spacing w:after="0" w:line="240" w:lineRule="auto"/>
            </w:pPr>
            <w:r>
              <w:rPr>
                <w:sz w:val="16"/>
              </w:rPr>
              <w:t>El publicado previo mezclaba una fuente de la comunidad de Cangrejillos en Yavi (Jujuy) y negaba un conflicto de cuenca real (amparo sobre Salinas Grandes y Laguna de Guayatayoc ante la Corte Suprema). Reemplazado en el sitio por refresh en borrador (31.127 caracteres, 22 fuentes). Gap menor aceptado: «posterior a 2017» vs «2013» en §2.7 y §9.</w:t>
            </w:r>
          </w:p>
        </w:tc>
        <w:tc>
          <w:tcPr>
            <w:tcW w:type="dxa" w:w="1291"/>
          </w:tcPr>
          <w:p>
            <w:pPr>
              <w:spacing w:after="0" w:line="240" w:lineRule="auto"/>
            </w:pPr>
            <w:r>
              <w:rPr>
                <w:sz w:val="16"/>
              </w:rPr>
              <w:t>Publicar borrador nuevo al aprobarlo; revisar ficha si corresponde</w:t>
            </w:r>
          </w:p>
        </w:tc>
        <w:tc>
          <w:tcPr>
            <w:tcW w:type="dxa" w:w="1050"/>
          </w:tcPr>
          <w:p>
            <w:pPr>
              <w:spacing w:after="0" w:line="240" w:lineRule="auto"/>
            </w:pPr>
            <w:r>
              <w:rPr>
                <w:sz w:val="16"/>
              </w:rPr>
              <w:t>Marcelo en Qhawana</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H04</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Error en informe publicado</w:t>
            </w:r>
          </w:p>
        </w:tc>
        <w:tc>
          <w:tcPr>
            <w:tcW w:type="dxa" w:w="1371"/>
            <w:shd w:val="clear" w:color="auto" w:fill="EEF2F7"/>
          </w:tcPr>
          <w:p>
            <w:pPr>
              <w:spacing w:after="0" w:line="240" w:lineRule="auto"/>
            </w:pPr>
            <w:r>
              <w:rPr>
                <w:sz w:val="16"/>
              </w:rPr>
              <w:t>1091 Incahuasi</w:t>
            </w:r>
          </w:p>
        </w:tc>
        <w:tc>
          <w:tcPr>
            <w:tcW w:type="dxa" w:w="1898"/>
            <w:shd w:val="clear" w:color="auto" w:fill="EEF2F7"/>
          </w:tcPr>
          <w:p>
            <w:pPr>
              <w:spacing w:after="0" w:line="240" w:lineRule="auto"/>
            </w:pPr>
            <w:r>
              <w:rPr>
                <w:sz w:val="16"/>
              </w:rPr>
              <w:t>El publicado previo mezclaba datos de Catamarca (1006) y atribuía a Incahuasi un RIGI de PPG. Reemplazado en el sitio por refresh en borrador (32.296 caracteres, 28 fuentes). Gaps menores aceptados: fechas de las fuentes [15] y [16] en §10, URL cortada de [10] (rotulada), título ambiguo de [26], grafía Arizalo/Arizaro textual.</w:t>
            </w:r>
          </w:p>
        </w:tc>
        <w:tc>
          <w:tcPr>
            <w:tcW w:type="dxa" w:w="1291"/>
            <w:shd w:val="clear" w:color="auto" w:fill="EEF2F7"/>
          </w:tcPr>
          <w:p>
            <w:pPr>
              <w:spacing w:after="0" w:line="240" w:lineRule="auto"/>
            </w:pPr>
            <w:r>
              <w:rPr>
                <w:sz w:val="16"/>
              </w:rPr>
              <w:t>Publicar borrador nuevo al aprobarlo; revisar ficha si corresponde</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H05</w:t>
            </w:r>
          </w:p>
        </w:tc>
        <w:tc>
          <w:tcPr>
            <w:tcW w:type="dxa" w:w="970"/>
          </w:tcPr>
          <w:p>
            <w:pPr>
              <w:spacing w:after="0" w:line="240" w:lineRule="auto"/>
            </w:pPr>
            <w:r>
              <w:rPr>
                <w:sz w:val="16"/>
              </w:rPr>
              <w:t>2026-10-30</w:t>
            </w:r>
          </w:p>
        </w:tc>
        <w:tc>
          <w:tcPr>
            <w:tcW w:type="dxa" w:w="1211"/>
          </w:tcPr>
          <w:p>
            <w:pPr>
              <w:spacing w:after="0" w:line="240" w:lineRule="auto"/>
            </w:pPr>
            <w:r>
              <w:rPr>
                <w:sz w:val="16"/>
              </w:rPr>
              <w:t>Informe con falta de información</w:t>
            </w:r>
          </w:p>
        </w:tc>
        <w:tc>
          <w:tcPr>
            <w:tcW w:type="dxa" w:w="1371"/>
          </w:tcPr>
          <w:p>
            <w:pPr>
              <w:spacing w:after="0" w:line="240" w:lineRule="auto"/>
            </w:pPr>
            <w:r>
              <w:rPr>
                <w:sz w:val="16"/>
              </w:rPr>
              <w:t>1082 Taca Sal IV</w:t>
            </w:r>
          </w:p>
        </w:tc>
        <w:tc>
          <w:tcPr>
            <w:tcW w:type="dxa" w:w="1898"/>
          </w:tcPr>
          <w:p>
            <w:pPr>
              <w:spacing w:after="0" w:line="240" w:lineRule="auto"/>
            </w:pPr>
            <w:r>
              <w:rPr>
                <w:sz w:val="16"/>
              </w:rPr>
              <w:t>Solo 4 fuentes primarias (Boletín Oficial de Salta x2, Portfolio 2024 y 2025). Sin datos públicos de geología, recursos, ensayos, ambiental, capex ni empleo.</w:t>
            </w:r>
          </w:p>
        </w:tc>
        <w:tc>
          <w:tcPr>
            <w:tcW w:type="dxa" w:w="1291"/>
          </w:tcPr>
          <w:p>
            <w:pPr>
              <w:spacing w:after="0" w:line="240" w:lineRule="auto"/>
            </w:pPr>
            <w:r>
              <w:rPr>
                <w:sz w:val="16"/>
              </w:rPr>
              <w:t>Informe completo con huecos (decidido por Marcelo). Publicado en borrador el 30/10/2026 (generate, 29.842 caracteres, 16 fuentes, huecos rotulados «sin dato público oficial»); falta revisión humana</w:t>
            </w:r>
          </w:p>
        </w:tc>
        <w:tc>
          <w:tcPr>
            <w:tcW w:type="dxa" w:w="1050"/>
          </w:tcPr>
          <w:p>
            <w:pPr>
              <w:spacing w:after="0" w:line="240" w:lineRule="auto"/>
            </w:pPr>
            <w:r>
              <w:rPr>
                <w:sz w:val="16"/>
              </w:rPr>
              <w:t>Marcelo</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H06</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Informe con falta de información</w:t>
            </w:r>
          </w:p>
        </w:tc>
        <w:tc>
          <w:tcPr>
            <w:tcW w:type="dxa" w:w="1371"/>
            <w:shd w:val="clear" w:color="auto" w:fill="EEF2F7"/>
          </w:tcPr>
          <w:p>
            <w:pPr>
              <w:spacing w:after="0" w:line="240" w:lineRule="auto"/>
            </w:pPr>
            <w:r>
              <w:rPr>
                <w:sz w:val="16"/>
              </w:rPr>
              <w:t>1063 Arizaro</w:t>
            </w:r>
          </w:p>
        </w:tc>
        <w:tc>
          <w:tcPr>
            <w:tcW w:type="dxa" w:w="1898"/>
            <w:shd w:val="clear" w:color="auto" w:fill="EEF2F7"/>
          </w:tcPr>
          <w:p>
            <w:pPr>
              <w:spacing w:after="0" w:line="240" w:lineRule="auto"/>
            </w:pPr>
            <w:r>
              <w:rPr>
                <w:sz w:val="16"/>
              </w:rPr>
              <w:t>Sin titular ni expediente verificable ni datos técnicos propios. No se escribió (cierre de tanda 2). Posible duplicado de 1391.</w:t>
            </w:r>
          </w:p>
        </w:tc>
        <w:tc>
          <w:tcPr>
            <w:tcW w:type="dxa" w:w="1291"/>
            <w:shd w:val="clear" w:color="auto" w:fill="EEF2F7"/>
          </w:tcPr>
          <w:p>
            <w:pPr>
              <w:spacing w:after="0" w:line="240" w:lineRule="auto"/>
            </w:pPr>
            <w:r>
              <w:rPr>
                <w:sz w:val="16"/>
              </w:rPr>
              <w:t>Ver H02</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H07</w:t>
            </w:r>
          </w:p>
        </w:tc>
        <w:tc>
          <w:tcPr>
            <w:tcW w:type="dxa" w:w="970"/>
          </w:tcPr>
          <w:p>
            <w:pPr>
              <w:spacing w:after="0" w:line="240" w:lineRule="auto"/>
            </w:pPr>
            <w:r>
              <w:rPr>
                <w:sz w:val="16"/>
              </w:rPr>
              <w:t>2026-10-30</w:t>
            </w:r>
          </w:p>
        </w:tc>
        <w:tc>
          <w:tcPr>
            <w:tcW w:type="dxa" w:w="1211"/>
          </w:tcPr>
          <w:p>
            <w:pPr>
              <w:spacing w:after="0" w:line="240" w:lineRule="auto"/>
            </w:pPr>
            <w:r>
              <w:rPr>
                <w:sz w:val="16"/>
              </w:rPr>
              <w:t>Error en informe publicado</w:t>
            </w:r>
          </w:p>
        </w:tc>
        <w:tc>
          <w:tcPr>
            <w:tcW w:type="dxa" w:w="1371"/>
          </w:tcPr>
          <w:p>
            <w:pPr>
              <w:spacing w:after="0" w:line="240" w:lineRule="auto"/>
            </w:pPr>
            <w:r>
              <w:rPr>
                <w:sz w:val="16"/>
              </w:rPr>
              <w:t>1166</w:t>
            </w:r>
          </w:p>
        </w:tc>
        <w:tc>
          <w:tcPr>
            <w:tcW w:type="dxa" w:w="1898"/>
          </w:tcPr>
          <w:p>
            <w:pPr>
              <w:spacing w:after="0" w:line="240" w:lineRule="auto"/>
            </w:pPr>
            <w:r>
              <w:rPr>
                <w:sz w:val="16"/>
              </w:rPr>
              <w:t>Dos errores internos: "venció" para 3/11 y 86,6% vs 86,5%.</w:t>
            </w:r>
          </w:p>
        </w:tc>
        <w:tc>
          <w:tcPr>
            <w:tcW w:type="dxa" w:w="1291"/>
          </w:tcPr>
          <w:p>
            <w:pPr>
              <w:spacing w:after="0" w:line="240" w:lineRule="auto"/>
            </w:pPr>
            <w:r>
              <w:rPr>
                <w:sz w:val="16"/>
              </w:rPr>
              <w:t>Corregir y regenerar Word y PDF</w:t>
            </w:r>
          </w:p>
        </w:tc>
        <w:tc>
          <w:tcPr>
            <w:tcW w:type="dxa" w:w="1050"/>
          </w:tcPr>
          <w:p>
            <w:pPr>
              <w:spacing w:after="0" w:line="240" w:lineRule="auto"/>
            </w:pPr>
            <w:r>
              <w:rPr>
                <w:sz w:val="16"/>
              </w:rPr>
              <w:t>Equipo de bots</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H08</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Falla del flujo o scripts</w:t>
            </w:r>
          </w:p>
        </w:tc>
        <w:tc>
          <w:tcPr>
            <w:tcW w:type="dxa" w:w="1371"/>
            <w:shd w:val="clear" w:color="auto" w:fill="EEF2F7"/>
          </w:tcPr>
          <w:p>
            <w:pPr>
              <w:spacing w:after="0" w:line="240" w:lineRule="auto"/>
            </w:pPr>
            <w:r>
              <w:rPr>
                <w:sz w:val="16"/>
              </w:rPr>
              <w:t>1168, 1176</w:t>
            </w:r>
          </w:p>
        </w:tc>
        <w:tc>
          <w:tcPr>
            <w:tcW w:type="dxa" w:w="1898"/>
            <w:shd w:val="clear" w:color="auto" w:fill="EEF2F7"/>
          </w:tcPr>
          <w:p>
            <w:pPr>
              <w:spacing w:after="0" w:line="240" w:lineRule="auto"/>
            </w:pPr>
            <w:r>
              <w:rPr>
                <w:sz w:val="16"/>
              </w:rPr>
              <w:t>sources-1168.json (22) y sources-1176.json (28) tienen menos fuentes que las citadas en el informe.</w:t>
            </w:r>
          </w:p>
        </w:tc>
        <w:tc>
          <w:tcPr>
            <w:tcW w:type="dxa" w:w="1291"/>
            <w:shd w:val="clear" w:color="auto" w:fill="EEF2F7"/>
          </w:tcPr>
          <w:p>
            <w:pPr>
              <w:spacing w:after="0" w:line="240" w:lineRule="auto"/>
            </w:pPr>
            <w:r>
              <w:rPr>
                <w:sz w:val="16"/>
              </w:rPr>
              <w:t>Completar los JSON de fuentes</w:t>
            </w:r>
          </w:p>
        </w:tc>
        <w:tc>
          <w:tcPr>
            <w:tcW w:type="dxa" w:w="1050"/>
            <w:shd w:val="clear" w:color="auto" w:fill="EEF2F7"/>
          </w:tcPr>
          <w:p>
            <w:pPr>
              <w:spacing w:after="0" w:line="240" w:lineRule="auto"/>
            </w:pPr>
            <w:r>
              <w:rPr>
                <w:sz w:val="16"/>
              </w:rPr>
              <w:t>Equipo de bots</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H09</w:t>
            </w:r>
          </w:p>
        </w:tc>
        <w:tc>
          <w:tcPr>
            <w:tcW w:type="dxa" w:w="970"/>
          </w:tcPr>
          <w:p>
            <w:pPr>
              <w:spacing w:after="0" w:line="240" w:lineRule="auto"/>
            </w:pPr>
            <w:r>
              <w:rPr>
                <w:sz w:val="16"/>
              </w:rPr>
              <w:t>2026-10-30</w:t>
            </w:r>
          </w:p>
        </w:tc>
        <w:tc>
          <w:tcPr>
            <w:tcW w:type="dxa" w:w="1211"/>
          </w:tcPr>
          <w:p>
            <w:pPr>
              <w:spacing w:after="0" w:line="240" w:lineRule="auto"/>
            </w:pPr>
            <w:r>
              <w:rPr>
                <w:sz w:val="16"/>
              </w:rPr>
              <w:t>Falla del flujo o scripts</w:t>
            </w:r>
          </w:p>
        </w:tc>
        <w:tc>
          <w:tcPr>
            <w:tcW w:type="dxa" w:w="1371"/>
          </w:tcPr>
          <w:p>
            <w:pPr>
              <w:spacing w:after="0" w:line="240" w:lineRule="auto"/>
            </w:pPr>
            <w:r>
              <w:rPr>
                <w:sz w:val="16"/>
              </w:rPr>
              <w:t>Scripts</w:t>
            </w:r>
          </w:p>
        </w:tc>
        <w:tc>
          <w:tcPr>
            <w:tcW w:type="dxa" w:w="1898"/>
          </w:tcPr>
          <w:p>
            <w:pPr>
              <w:spacing w:after="0" w:line="240" w:lineRule="auto"/>
            </w:pPr>
            <w:r>
              <w:rPr>
                <w:sz w:val="16"/>
              </w:rPr>
              <w:t>README de los scripts desactualizado sobre el origen del token de Cloudflare (hoy variable de entorno o archivo local).</w:t>
            </w:r>
          </w:p>
        </w:tc>
        <w:tc>
          <w:tcPr>
            <w:tcW w:type="dxa" w:w="1291"/>
          </w:tcPr>
          <w:p>
            <w:pPr>
              <w:spacing w:after="0" w:line="240" w:lineRule="auto"/>
            </w:pPr>
            <w:r>
              <w:rPr>
                <w:sz w:val="16"/>
              </w:rPr>
              <w:t>Actualizar README</w:t>
            </w:r>
          </w:p>
        </w:tc>
        <w:tc>
          <w:tcPr>
            <w:tcW w:type="dxa" w:w="1050"/>
          </w:tcPr>
          <w:p>
            <w:pPr>
              <w:spacing w:after="0" w:line="240" w:lineRule="auto"/>
            </w:pPr>
            <w:r>
              <w:rPr>
                <w:sz w:val="16"/>
              </w:rPr>
              <w:t>Equipo de bots</w:t>
            </w:r>
          </w:p>
        </w:tc>
        <w:tc>
          <w:tcPr>
            <w:tcW w:type="dxa" w:w="1211"/>
          </w:tcPr>
          <w:p>
            <w:pPr>
              <w:spacing w:after="0" w:line="240" w:lineRule="auto"/>
            </w:pPr>
            <w:r>
              <w:rPr>
                <w:sz w:val="16"/>
              </w:rPr>
              <w:t>Resuelto (guía v2.2)</w:t>
            </w:r>
          </w:p>
        </w:tc>
      </w:tr>
      <w:tr>
        <w:trPr>
          <w:cantSplit/>
        </w:trPr>
        <w:tc>
          <w:tcPr>
            <w:tcW w:type="dxa" w:w="409"/>
            <w:shd w:val="clear" w:color="auto" w:fill="EEF2F7"/>
          </w:tcPr>
          <w:p>
            <w:pPr>
              <w:spacing w:after="0" w:line="240" w:lineRule="auto"/>
            </w:pPr>
            <w:r>
              <w:rPr>
                <w:sz w:val="16"/>
              </w:rPr>
              <w:t>H10</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Sugerencia de mejora</w:t>
            </w:r>
          </w:p>
        </w:tc>
        <w:tc>
          <w:tcPr>
            <w:tcW w:type="dxa" w:w="1371"/>
            <w:shd w:val="clear" w:color="auto" w:fill="EEF2F7"/>
          </w:tcPr>
          <w:p>
            <w:pPr>
              <w:spacing w:after="0" w:line="240" w:lineRule="auto"/>
            </w:pPr>
            <w:r>
              <w:rPr>
                <w:sz w:val="16"/>
              </w:rPr>
              <w:t>Infraestructura</w:t>
            </w:r>
          </w:p>
        </w:tc>
        <w:tc>
          <w:tcPr>
            <w:tcW w:type="dxa" w:w="1898"/>
            <w:shd w:val="clear" w:color="auto" w:fill="EEF2F7"/>
          </w:tcPr>
          <w:p>
            <w:pPr>
              <w:spacing w:after="0" w:line="240" w:lineRule="auto"/>
            </w:pPr>
            <w:r>
              <w:rPr>
                <w:sz w:val="16"/>
              </w:rPr>
              <w:t>El token de Cloudflare vive solo en la box. Si se pierde el disco hay que generar uno nuevo.</w:t>
            </w:r>
          </w:p>
        </w:tc>
        <w:tc>
          <w:tcPr>
            <w:tcW w:type="dxa" w:w="1291"/>
            <w:shd w:val="clear" w:color="auto" w:fill="EEF2F7"/>
          </w:tcPr>
          <w:p>
            <w:pPr>
              <w:spacing w:after="0" w:line="240" w:lineRule="auto"/>
            </w:pPr>
            <w:r>
              <w:rPr>
                <w:sz w:val="16"/>
              </w:rPr>
              <w:t>Documentar procedimiento de regeneración</w:t>
            </w:r>
          </w:p>
        </w:tc>
        <w:tc>
          <w:tcPr>
            <w:tcW w:type="dxa" w:w="1050"/>
            <w:shd w:val="clear" w:color="auto" w:fill="EEF2F7"/>
          </w:tcPr>
          <w:p>
            <w:pPr>
              <w:spacing w:after="0" w:line="240" w:lineRule="auto"/>
            </w:pPr>
            <w:r>
              <w:rPr>
                <w:sz w:val="16"/>
              </w:rPr>
              <w:t>Equipo de bots</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H11</w:t>
            </w:r>
          </w:p>
        </w:tc>
        <w:tc>
          <w:tcPr>
            <w:tcW w:type="dxa" w:w="970"/>
          </w:tcPr>
          <w:p>
            <w:pPr>
              <w:spacing w:after="0" w:line="240" w:lineRule="auto"/>
            </w:pPr>
            <w:r>
              <w:rPr>
                <w:sz w:val="16"/>
              </w:rPr>
              <w:t>2026-10-30</w:t>
            </w:r>
          </w:p>
        </w:tc>
        <w:tc>
          <w:tcPr>
            <w:tcW w:type="dxa" w:w="1211"/>
          </w:tcPr>
          <w:p>
            <w:pPr>
              <w:spacing w:after="0" w:line="240" w:lineRule="auto"/>
            </w:pPr>
            <w:r>
              <w:rPr>
                <w:sz w:val="16"/>
              </w:rPr>
              <w:t>Decisión pendiente</w:t>
            </w:r>
          </w:p>
        </w:tc>
        <w:tc>
          <w:tcPr>
            <w:tcW w:type="dxa" w:w="1371"/>
          </w:tcPr>
          <w:p>
            <w:pPr>
              <w:spacing w:after="0" w:line="240" w:lineRule="auto"/>
            </w:pPr>
            <w:r>
              <w:rPr>
                <w:sz w:val="16"/>
              </w:rPr>
              <w:t>Sitio web</w:t>
            </w:r>
          </w:p>
        </w:tc>
        <w:tc>
          <w:tcPr>
            <w:tcW w:type="dxa" w:w="1898"/>
          </w:tcPr>
          <w:p>
            <w:pPr>
              <w:spacing w:after="0" w:line="240" w:lineRule="auto"/>
            </w:pPr>
            <w:hyperlink r:id="rId11">
              <w:r>
                <w:rPr>
                  <w:color w:val="0563C1"/>
                  <w:u w:val="single"/>
                  <w:sz w:val="16"/>
                </w:rPr>
                <w:t xml:space="preserve">https://informes-qhawana.pages.dev</w:t>
              </w:r>
            </w:hyperlink>
            <w:r>
              <w:rPr>
                <w:sz w:val="16"/>
              </w:rPr>
              <w:t xml:space="preserve"> es público.</w:t>
            </w:r>
          </w:p>
        </w:tc>
        <w:tc>
          <w:tcPr>
            <w:tcW w:type="dxa" w:w="1291"/>
          </w:tcPr>
          <w:p>
            <w:pPr>
              <w:spacing w:after="0" w:line="240" w:lineRule="auto"/>
            </w:pPr>
            <w:r>
              <w:rPr>
                <w:sz w:val="16"/>
              </w:rPr>
              <w:t>Restringir con Cloudflare Zero Trust Access</w:t>
            </w:r>
          </w:p>
        </w:tc>
        <w:tc>
          <w:tcPr>
            <w:tcW w:type="dxa" w:w="1050"/>
          </w:tcPr>
          <w:p>
            <w:pPr>
              <w:spacing w:after="0" w:line="240" w:lineRule="auto"/>
            </w:pPr>
            <w:r>
              <w:rPr>
                <w:sz w:val="16"/>
              </w:rPr>
              <w:t>Marcelo</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H12</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Decisión pendiente</w:t>
            </w:r>
          </w:p>
        </w:tc>
        <w:tc>
          <w:tcPr>
            <w:tcW w:type="dxa" w:w="1371"/>
            <w:shd w:val="clear" w:color="auto" w:fill="EEF2F7"/>
          </w:tcPr>
          <w:p>
            <w:pPr>
              <w:spacing w:after="0" w:line="240" w:lineRule="auto"/>
            </w:pPr>
            <w:r>
              <w:rPr>
                <w:sz w:val="16"/>
              </w:rPr>
              <w:t>Guía maestra</w:t>
            </w:r>
          </w:p>
        </w:tc>
        <w:tc>
          <w:tcPr>
            <w:tcW w:type="dxa" w:w="1898"/>
            <w:shd w:val="clear" w:color="auto" w:fill="EEF2F7"/>
          </w:tcPr>
          <w:p>
            <w:pPr>
              <w:spacing w:after="0" w:line="240" w:lineRule="auto"/>
            </w:pPr>
            <w:r>
              <w:rPr>
                <w:sz w:val="16"/>
              </w:rPr>
              <w:t>La guía v2.1 no incluye aún los informes de las tandas 1 y 2.</w:t>
            </w:r>
          </w:p>
        </w:tc>
        <w:tc>
          <w:tcPr>
            <w:tcW w:type="dxa" w:w="1291"/>
            <w:shd w:val="clear" w:color="auto" w:fill="EEF2F7"/>
          </w:tcPr>
          <w:p>
            <w:pPr>
              <w:spacing w:after="0" w:line="240" w:lineRule="auto"/>
            </w:pPr>
            <w:r>
              <w:rPr>
                <w:sz w:val="16"/>
              </w:rPr>
              <w:t>Actualizar la sección 13</w:t>
            </w:r>
          </w:p>
        </w:tc>
        <w:tc>
          <w:tcPr>
            <w:tcW w:type="dxa" w:w="1050"/>
            <w:shd w:val="clear" w:color="auto" w:fill="EEF2F7"/>
          </w:tcPr>
          <w:p>
            <w:pPr>
              <w:spacing w:after="0" w:line="240" w:lineRule="auto"/>
            </w:pPr>
            <w:r>
              <w:rPr>
                <w:sz w:val="16"/>
              </w:rPr>
              <w:t>Jarvis</w:t>
            </w:r>
          </w:p>
        </w:tc>
        <w:tc>
          <w:tcPr>
            <w:tcW w:type="dxa" w:w="1211"/>
            <w:shd w:val="clear" w:color="auto" w:fill="EEF2F7"/>
          </w:tcPr>
          <w:p>
            <w:pPr>
              <w:spacing w:after="0" w:line="240" w:lineRule="auto"/>
            </w:pPr>
            <w:r>
              <w:rPr>
                <w:sz w:val="16"/>
              </w:rPr>
              <w:t>Resuelto (guía v2.2)</w:t>
            </w:r>
          </w:p>
        </w:tc>
      </w:tr>
      <w:tr>
        <w:trPr>
          <w:cantSplit/>
        </w:trPr>
        <w:tc>
          <w:tcPr>
            <w:tcW w:type="dxa" w:w="409"/>
          </w:tcPr>
          <w:p>
            <w:pPr>
              <w:spacing w:after="0" w:line="240" w:lineRule="auto"/>
            </w:pPr>
            <w:r>
              <w:rPr>
                <w:sz w:val="16"/>
              </w:rPr>
              <w:t>H14</w:t>
            </w:r>
          </w:p>
        </w:tc>
        <w:tc>
          <w:tcPr>
            <w:tcW w:type="dxa" w:w="970"/>
          </w:tcPr>
          <w:p>
            <w:pPr>
              <w:spacing w:after="0" w:line="240" w:lineRule="auto"/>
            </w:pPr>
            <w:r>
              <w:rPr>
                <w:sz w:val="16"/>
              </w:rPr>
              <w:t>2026-10-30</w:t>
            </w:r>
          </w:p>
        </w:tc>
        <w:tc>
          <w:tcPr>
            <w:tcW w:type="dxa" w:w="1211"/>
          </w:tcPr>
          <w:p>
            <w:pPr>
              <w:spacing w:after="0" w:line="240" w:lineRule="auto"/>
            </w:pPr>
            <w:r>
              <w:rPr>
                <w:sz w:val="16"/>
              </w:rPr>
              <w:t>Error en informe publicado</w:t>
            </w:r>
          </w:p>
        </w:tc>
        <w:tc>
          <w:tcPr>
            <w:tcW w:type="dxa" w:w="1371"/>
          </w:tcPr>
          <w:p>
            <w:pPr>
              <w:spacing w:after="0" w:line="240" w:lineRule="auto"/>
            </w:pPr>
            <w:r>
              <w:rPr>
                <w:sz w:val="16"/>
              </w:rPr>
              <w:t>1177 Sal de los Ángeles</w:t>
            </w:r>
          </w:p>
        </w:tc>
        <w:tc>
          <w:tcPr>
            <w:tcW w:type="dxa" w:w="1898"/>
          </w:tcPr>
          <w:p>
            <w:pPr>
              <w:spacing w:after="0" w:line="240" w:lineRule="auto"/>
            </w:pPr>
            <w:r>
              <w:rPr>
                <w:sz w:val="16"/>
              </w:rPr>
              <w:t>El publicado previo tenía unos 11 errores: recursos «Medido e Indicado» cuando es solo Indicado (más Inferido), capex, controlante, empleo 2019, RIGI y superficies. Reemplazado en el sitio por refresh en borrador (34.895 caracteres, 31 fuentes). Gap menor aceptado: «récord histórico» aplica al litio de septiembre.</w:t>
            </w:r>
          </w:p>
        </w:tc>
        <w:tc>
          <w:tcPr>
            <w:tcW w:type="dxa" w:w="1291"/>
          </w:tcPr>
          <w:p>
            <w:pPr>
              <w:spacing w:after="0" w:line="240" w:lineRule="auto"/>
            </w:pPr>
            <w:r>
              <w:rPr>
                <w:sz w:val="16"/>
              </w:rPr>
              <w:t>Publicar borrador nuevo al aprobarlo; revisar ficha si corresponde</w:t>
            </w:r>
          </w:p>
        </w:tc>
        <w:tc>
          <w:tcPr>
            <w:tcW w:type="dxa" w:w="1050"/>
          </w:tcPr>
          <w:p>
            <w:pPr>
              <w:spacing w:after="0" w:line="240" w:lineRule="auto"/>
            </w:pPr>
            <w:r>
              <w:rPr>
                <w:sz w:val="16"/>
              </w:rPr>
              <w:t>Marcelo en Qhawana</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H15</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Dato a revisar en ficha Qhawana</w:t>
            </w:r>
          </w:p>
        </w:tc>
        <w:tc>
          <w:tcPr>
            <w:tcW w:type="dxa" w:w="1371"/>
            <w:shd w:val="clear" w:color="auto" w:fill="EEF2F7"/>
          </w:tcPr>
          <w:p>
            <w:pPr>
              <w:spacing w:after="0" w:line="240" w:lineRule="auto"/>
            </w:pPr>
            <w:r>
              <w:rPr>
                <w:sz w:val="16"/>
              </w:rPr>
              <w:t>1177 Sal de los Ángeles</w:t>
            </w:r>
          </w:p>
        </w:tc>
        <w:tc>
          <w:tcPr>
            <w:tcW w:type="dxa" w:w="1898"/>
            <w:shd w:val="clear" w:color="auto" w:fill="EEF2F7"/>
          </w:tcPr>
          <w:p>
            <w:pPr>
              <w:spacing w:after="0" w:line="240" w:lineRule="auto"/>
            </w:pPr>
            <w:r>
              <w:rPr>
                <w:sz w:val="16"/>
              </w:rPr>
              <w:t>Capex de la ficha (US$ 700 M) sin fuente propia; no coincide con el Monitor RIGI del IIEP (US$ 726 M) ni con la DIA (unos US$ 500 M para la fase 1).</w:t>
            </w:r>
          </w:p>
        </w:tc>
        <w:tc>
          <w:tcPr>
            <w:tcW w:type="dxa" w:w="1291"/>
            <w:shd w:val="clear" w:color="auto" w:fill="EEF2F7"/>
          </w:tcPr>
          <w:p>
            <w:pPr>
              <w:spacing w:after="0" w:line="240" w:lineRule="auto"/>
            </w:pPr>
            <w:r>
              <w:rPr>
                <w:sz w:val="16"/>
              </w:rPr>
              <w:t>Revisar y documentar la fuente del capex</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H16</w:t>
            </w:r>
          </w:p>
        </w:tc>
        <w:tc>
          <w:tcPr>
            <w:tcW w:type="dxa" w:w="970"/>
          </w:tcPr>
          <w:p>
            <w:pPr>
              <w:spacing w:after="0" w:line="240" w:lineRule="auto"/>
            </w:pPr>
            <w:r>
              <w:rPr>
                <w:sz w:val="16"/>
              </w:rPr>
              <w:t>2026-10-30</w:t>
            </w:r>
          </w:p>
        </w:tc>
        <w:tc>
          <w:tcPr>
            <w:tcW w:type="dxa" w:w="1211"/>
          </w:tcPr>
          <w:p>
            <w:pPr>
              <w:spacing w:after="0" w:line="240" w:lineRule="auto"/>
            </w:pPr>
            <w:r>
              <w:rPr>
                <w:sz w:val="16"/>
              </w:rPr>
              <w:t>Sugerencia de mejora</w:t>
            </w:r>
          </w:p>
        </w:tc>
        <w:tc>
          <w:tcPr>
            <w:tcW w:type="dxa" w:w="1371"/>
          </w:tcPr>
          <w:p>
            <w:pPr>
              <w:spacing w:after="0" w:line="240" w:lineRule="auto"/>
            </w:pPr>
            <w:r>
              <w:rPr>
                <w:sz w:val="16"/>
              </w:rPr>
              <w:t>1177, 1091, 1087, 1074</w:t>
            </w:r>
          </w:p>
        </w:tc>
        <w:tc>
          <w:tcPr>
            <w:tcW w:type="dxa" w:w="1898"/>
          </w:tcPr>
          <w:p>
            <w:pPr>
              <w:spacing w:after="0" w:line="240" w:lineRule="auto"/>
            </w:pPr>
            <w:r>
              <w:rPr>
                <w:sz w:val="16"/>
              </w:rPr>
              <w:t>Patrón: los informes publicados previos de los tres refresh de la tanda 2 y del refresh de la tanda 3 (1074) tenían errores factuales relevantes.</w:t>
            </w:r>
          </w:p>
        </w:tc>
        <w:tc>
          <w:tcPr>
            <w:tcW w:type="dxa" w:w="1291"/>
          </w:tcPr>
          <w:p>
            <w:pPr>
              <w:spacing w:after="0" w:line="240" w:lineRule="auto"/>
            </w:pPr>
            <w:r>
              <w:rPr>
                <w:sz w:val="16"/>
              </w:rPr>
              <w:t>Que los refresh futuros prioricen el comparativo contra el publicado; Marcelo revisa si las fichas de Qhawana repiten esos errores</w:t>
            </w:r>
          </w:p>
        </w:tc>
        <w:tc>
          <w:tcPr>
            <w:tcW w:type="dxa" w:w="1050"/>
          </w:tcPr>
          <w:p>
            <w:pPr>
              <w:spacing w:after="0" w:line="240" w:lineRule="auto"/>
            </w:pPr>
            <w:r>
              <w:rPr>
                <w:sz w:val="16"/>
              </w:rPr>
              <w:t>Equipo de bots y Marcelo</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H17</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Falla del flujo o scripts</w:t>
            </w:r>
          </w:p>
        </w:tc>
        <w:tc>
          <w:tcPr>
            <w:tcW w:type="dxa" w:w="1371"/>
            <w:shd w:val="clear" w:color="auto" w:fill="EEF2F7"/>
          </w:tcPr>
          <w:p>
            <w:pPr>
              <w:spacing w:after="0" w:line="240" w:lineRule="auto"/>
            </w:pPr>
            <w:r>
              <w:rPr>
                <w:sz w:val="16"/>
              </w:rPr>
              <w:t>Guía maestra</w:t>
            </w:r>
          </w:p>
        </w:tc>
        <w:tc>
          <w:tcPr>
            <w:tcW w:type="dxa" w:w="1898"/>
            <w:shd w:val="clear" w:color="auto" w:fill="EEF2F7"/>
          </w:tcPr>
          <w:p>
            <w:pPr>
              <w:spacing w:after="0" w:line="240" w:lineRule="auto"/>
            </w:pPr>
            <w:r>
              <w:rPr>
                <w:sz w:val="16"/>
              </w:rPr>
              <w:t>La sección 6.7 describía la poda de Drive por antigüedad (8 semanas), pero en la carpeta queda solo la última versión de guía, hallazgos y respaldo.</w:t>
            </w:r>
          </w:p>
        </w:tc>
        <w:tc>
          <w:tcPr>
            <w:tcW w:type="dxa" w:w="1291"/>
            <w:shd w:val="clear" w:color="auto" w:fill="EEF2F7"/>
          </w:tcPr>
          <w:p>
            <w:pPr>
              <w:spacing w:after="0" w:line="240" w:lineRule="auto"/>
            </w:pPr>
            <w:r>
              <w:rPr>
                <w:sz w:val="16"/>
              </w:rPr>
              <w:t>Corregir la sección 6.7</w:t>
            </w:r>
          </w:p>
        </w:tc>
        <w:tc>
          <w:tcPr>
            <w:tcW w:type="dxa" w:w="1050"/>
            <w:shd w:val="clear" w:color="auto" w:fill="EEF2F7"/>
          </w:tcPr>
          <w:p>
            <w:pPr>
              <w:spacing w:after="0" w:line="240" w:lineRule="auto"/>
            </w:pPr>
            <w:r>
              <w:rPr>
                <w:sz w:val="16"/>
              </w:rPr>
              <w:t>Jarvis</w:t>
            </w:r>
          </w:p>
        </w:tc>
        <w:tc>
          <w:tcPr>
            <w:tcW w:type="dxa" w:w="1211"/>
            <w:shd w:val="clear" w:color="auto" w:fill="EEF2F7"/>
          </w:tcPr>
          <w:p>
            <w:pPr>
              <w:spacing w:after="0" w:line="240" w:lineRule="auto"/>
            </w:pPr>
            <w:r>
              <w:rPr>
                <w:sz w:val="16"/>
              </w:rPr>
              <w:t>Resuelto (guía v2.3)</w:t>
            </w:r>
          </w:p>
        </w:tc>
      </w:tr>
      <w:tr>
        <w:trPr>
          <w:cantSplit/>
        </w:trPr>
        <w:tc>
          <w:tcPr>
            <w:tcW w:type="dxa" w:w="409"/>
          </w:tcPr>
          <w:p>
            <w:pPr>
              <w:spacing w:after="0" w:line="240" w:lineRule="auto"/>
            </w:pPr>
            <w:r>
              <w:rPr>
                <w:sz w:val="16"/>
              </w:rPr>
              <w:t>H18</w:t>
            </w:r>
          </w:p>
        </w:tc>
        <w:tc>
          <w:tcPr>
            <w:tcW w:type="dxa" w:w="970"/>
          </w:tcPr>
          <w:p>
            <w:pPr>
              <w:spacing w:after="0" w:line="240" w:lineRule="auto"/>
            </w:pPr>
            <w:r>
              <w:rPr>
                <w:sz w:val="16"/>
              </w:rPr>
              <w:t>2026-10-30</w:t>
            </w:r>
          </w:p>
        </w:tc>
        <w:tc>
          <w:tcPr>
            <w:tcW w:type="dxa" w:w="1211"/>
          </w:tcPr>
          <w:p>
            <w:pPr>
              <w:spacing w:after="0" w:line="240" w:lineRule="auto"/>
            </w:pPr>
            <w:r>
              <w:rPr>
                <w:sz w:val="16"/>
              </w:rPr>
              <w:t>Decisión pendiente</w:t>
            </w:r>
          </w:p>
        </w:tc>
        <w:tc>
          <w:tcPr>
            <w:tcW w:type="dxa" w:w="1371"/>
          </w:tcPr>
          <w:p>
            <w:pPr>
              <w:spacing w:after="0" w:line="240" w:lineRule="auto"/>
            </w:pPr>
            <w:r>
              <w:rPr>
                <w:sz w:val="16"/>
              </w:rPr>
              <w:t>Guía maestra</w:t>
            </w:r>
          </w:p>
        </w:tc>
        <w:tc>
          <w:tcPr>
            <w:tcW w:type="dxa" w:w="1898"/>
          </w:tcPr>
          <w:p>
            <w:pPr>
              <w:spacing w:after="0" w:line="240" w:lineRule="auto"/>
            </w:pPr>
            <w:r>
              <w:rPr>
                <w:sz w:val="16"/>
              </w:rPr>
              <w:t>Sumar el cierre de la tanda 2 (1177, 1091, 1087) a la sección 13.1.</w:t>
            </w:r>
          </w:p>
        </w:tc>
        <w:tc>
          <w:tcPr>
            <w:tcW w:type="dxa" w:w="1291"/>
          </w:tcPr>
          <w:p>
            <w:pPr>
              <w:spacing w:after="0" w:line="240" w:lineRule="auto"/>
            </w:pPr>
            <w:r>
              <w:rPr>
                <w:sz w:val="16"/>
              </w:rPr>
              <w:t>Actualizar la guía</w:t>
            </w:r>
          </w:p>
        </w:tc>
        <w:tc>
          <w:tcPr>
            <w:tcW w:type="dxa" w:w="1050"/>
          </w:tcPr>
          <w:p>
            <w:pPr>
              <w:spacing w:after="0" w:line="240" w:lineRule="auto"/>
            </w:pPr>
            <w:r>
              <w:rPr>
                <w:sz w:val="16"/>
              </w:rPr>
              <w:t>Jarvis</w:t>
            </w:r>
          </w:p>
        </w:tc>
        <w:tc>
          <w:tcPr>
            <w:tcW w:type="dxa" w:w="1211"/>
          </w:tcPr>
          <w:p>
            <w:pPr>
              <w:spacing w:after="0" w:line="240" w:lineRule="auto"/>
            </w:pPr>
            <w:r>
              <w:rPr>
                <w:sz w:val="16"/>
              </w:rPr>
              <w:t>Resuelto (guía v2.3)</w:t>
            </w:r>
          </w:p>
        </w:tc>
      </w:tr>
      <w:tr>
        <w:trPr>
          <w:cantSplit/>
        </w:trPr>
        <w:tc>
          <w:tcPr>
            <w:tcW w:type="dxa" w:w="409"/>
            <w:shd w:val="clear" w:color="auto" w:fill="EEF2F7"/>
          </w:tcPr>
          <w:p>
            <w:pPr>
              <w:spacing w:after="0" w:line="240" w:lineRule="auto"/>
            </w:pPr>
            <w:r>
              <w:rPr>
                <w:sz w:val="16"/>
              </w:rPr>
              <w:t>H19</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Dato incorrecto en ficha Qhawana</w:t>
            </w:r>
          </w:p>
        </w:tc>
        <w:tc>
          <w:tcPr>
            <w:tcW w:type="dxa" w:w="1371"/>
            <w:shd w:val="clear" w:color="auto" w:fill="EEF2F7"/>
          </w:tcPr>
          <w:p>
            <w:pPr>
              <w:spacing w:after="0" w:line="240" w:lineRule="auto"/>
            </w:pPr>
            <w:r>
              <w:rPr>
                <w:sz w:val="16"/>
              </w:rPr>
              <w:t>1187 Centenario</w:t>
            </w:r>
          </w:p>
        </w:tc>
        <w:tc>
          <w:tcPr>
            <w:tcW w:type="dxa" w:w="1898"/>
            <w:shd w:val="clear" w:color="auto" w:fill="EEF2F7"/>
          </w:tcPr>
          <w:p>
            <w:pPr>
              <w:spacing w:after="0" w:line="240" w:lineRule="auto"/>
            </w:pPr>
            <w:r>
              <w:rPr>
                <w:sz w:val="16"/>
              </w:rPr>
              <w:t>Controlador desactualizado: figura LPI (y «LPI hoy Lithium Energy», que es un error); hoy es NEXT Lithium vía Vertex, con Liontown en farm-in. Operador y superficie vacíos. Coordenadas genéricas del salar, copiadas con 1066 (a unos 350 m); la ubicación real (mina LMG Cente 01, BO Salta 31/08/2026) queda unos 6,6 km al SSE. Etapa «Exploración Avanzada» discutible. Informe nuevo publicado en borrador (generate, 32.130 caracteres, 25 fuentes).</w:t>
            </w:r>
          </w:p>
        </w:tc>
        <w:tc>
          <w:tcPr>
            <w:tcW w:type="dxa" w:w="1291"/>
            <w:shd w:val="clear" w:color="auto" w:fill="EEF2F7"/>
          </w:tcPr>
          <w:p>
            <w:pPr>
              <w:spacing w:after="0" w:line="240" w:lineRule="auto"/>
            </w:pPr>
            <w:r>
              <w:rPr>
                <w:sz w:val="16"/>
              </w:rPr>
              <w:t>Corregir controlador, coordenadas y etapa</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H20</w:t>
            </w:r>
          </w:p>
        </w:tc>
        <w:tc>
          <w:tcPr>
            <w:tcW w:type="dxa" w:w="970"/>
          </w:tcPr>
          <w:p>
            <w:pPr>
              <w:spacing w:after="0" w:line="240" w:lineRule="auto"/>
            </w:pPr>
            <w:r>
              <w:rPr>
                <w:sz w:val="16"/>
              </w:rPr>
              <w:t>2026-10-30</w:t>
            </w:r>
          </w:p>
        </w:tc>
        <w:tc>
          <w:tcPr>
            <w:tcW w:type="dxa" w:w="1211"/>
          </w:tcPr>
          <w:p>
            <w:pPr>
              <w:spacing w:after="0" w:line="240" w:lineRule="auto"/>
            </w:pPr>
            <w:r>
              <w:rPr>
                <w:sz w:val="16"/>
              </w:rPr>
              <w:t>Dato incorrecto en ficha Qhawana</w:t>
            </w:r>
          </w:p>
        </w:tc>
        <w:tc>
          <w:tcPr>
            <w:tcW w:type="dxa" w:w="1371"/>
          </w:tcPr>
          <w:p>
            <w:pPr>
              <w:spacing w:after="0" w:line="240" w:lineRule="auto"/>
            </w:pPr>
            <w:r>
              <w:rPr>
                <w:sz w:val="16"/>
              </w:rPr>
              <w:t>1190 Pular</w:t>
            </w:r>
          </w:p>
        </w:tc>
        <w:tc>
          <w:tcPr>
            <w:tcW w:type="dxa" w:w="1898"/>
          </w:tcPr>
          <w:p>
            <w:pPr>
              <w:spacing w:after="0" w:line="240" w:lineRule="auto"/>
            </w:pPr>
            <w:r>
              <w:rPr>
                <w:sz w:val="16"/>
              </w:rPr>
              <w:t>Recurso rotulado «Medidos e Indicados», pero es solo Medido 91.000 t LCE (más Inferido 82.000 t LCE); la unidad «Mt» en realidad son toneladas de LCE. Superficie y operador vacíos; «Exploración Avanzada» exagera (sin trabajo de campo desde 2018). Titular real Power Minerals S.A. (ex PepinNini), no «Salta Lithium» ni «AAL»; la ficha está desactualizada.</w:t>
            </w:r>
          </w:p>
        </w:tc>
        <w:tc>
          <w:tcPr>
            <w:tcW w:type="dxa" w:w="1291"/>
          </w:tcPr>
          <w:p>
            <w:pPr>
              <w:spacing w:after="0" w:line="240" w:lineRule="auto"/>
            </w:pPr>
            <w:r>
              <w:rPr>
                <w:sz w:val="16"/>
              </w:rPr>
              <w:t>Corregir categoría, unidad, titular y etapa</w:t>
            </w:r>
          </w:p>
        </w:tc>
        <w:tc>
          <w:tcPr>
            <w:tcW w:type="dxa" w:w="1050"/>
          </w:tcPr>
          <w:p>
            <w:pPr>
              <w:spacing w:after="0" w:line="240" w:lineRule="auto"/>
            </w:pPr>
            <w:r>
              <w:rPr>
                <w:sz w:val="16"/>
              </w:rPr>
              <w:t>Marcelo en Qhawana</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H21</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Informe con falta de información</w:t>
            </w:r>
          </w:p>
        </w:tc>
        <w:tc>
          <w:tcPr>
            <w:tcW w:type="dxa" w:w="1371"/>
            <w:shd w:val="clear" w:color="auto" w:fill="EEF2F7"/>
          </w:tcPr>
          <w:p>
            <w:pPr>
              <w:spacing w:after="0" w:line="240" w:lineRule="auto"/>
            </w:pPr>
            <w:r>
              <w:rPr>
                <w:sz w:val="16"/>
              </w:rPr>
              <w:t>1190 Pular</w:t>
            </w:r>
          </w:p>
        </w:tc>
        <w:tc>
          <w:tcPr>
            <w:tcW w:type="dxa" w:w="1898"/>
            <w:shd w:val="clear" w:color="auto" w:fill="EEF2F7"/>
          </w:tcPr>
          <w:p>
            <w:pPr>
              <w:spacing w:after="0" w:line="240" w:lineRule="auto"/>
            </w:pPr>
            <w:r>
              <w:rPr>
                <w:sz w:val="16"/>
              </w:rPr>
              <w:t>Solo 12 fuentes propias (2 de nivel grupo); el informe final cita 20. Alcanza para recurso, titularidad e historia corporativa; sin dato público para ambiental, social, RIGI, infraestructura ni economía. El fin del JV con Summit (oct 2026) sale de una fuente secundaria. Publicado en borrador (generate, 31.062 caracteres, 20 fuentes) con huecos rotulados.</w:t>
            </w:r>
          </w:p>
        </w:tc>
        <w:tc>
          <w:tcPr>
            <w:tcW w:type="dxa" w:w="1291"/>
            <w:shd w:val="clear" w:color="auto" w:fill="EEF2F7"/>
          </w:tcPr>
          <w:p>
            <w:pPr>
              <w:spacing w:after="0" w:line="240" w:lineRule="auto"/>
            </w:pPr>
            <w:r>
              <w:rPr>
                <w:sz w:val="16"/>
              </w:rPr>
              <w:t>Revisión humana; confirmar el fin del JV con fuente primaria</w:t>
            </w:r>
          </w:p>
        </w:tc>
        <w:tc>
          <w:tcPr>
            <w:tcW w:type="dxa" w:w="1050"/>
            <w:shd w:val="clear" w:color="auto" w:fill="EEF2F7"/>
          </w:tcPr>
          <w:p>
            <w:pPr>
              <w:spacing w:after="0" w:line="240" w:lineRule="auto"/>
            </w:pPr>
            <w:r>
              <w:rPr>
                <w:sz w:val="16"/>
              </w:rPr>
              <w:t>Marcelo</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H22</w:t>
            </w:r>
          </w:p>
        </w:tc>
        <w:tc>
          <w:tcPr>
            <w:tcW w:type="dxa" w:w="970"/>
          </w:tcPr>
          <w:p>
            <w:pPr>
              <w:spacing w:after="0" w:line="240" w:lineRule="auto"/>
            </w:pPr>
            <w:r>
              <w:rPr>
                <w:sz w:val="16"/>
              </w:rPr>
              <w:t>2026-10-30</w:t>
            </w:r>
          </w:p>
        </w:tc>
        <w:tc>
          <w:tcPr>
            <w:tcW w:type="dxa" w:w="1211"/>
          </w:tcPr>
          <w:p>
            <w:pPr>
              <w:spacing w:after="0" w:line="240" w:lineRule="auto"/>
            </w:pPr>
            <w:r>
              <w:rPr>
                <w:sz w:val="16"/>
              </w:rPr>
              <w:t>Dato incorrecto en ficha Qhawana</w:t>
            </w:r>
          </w:p>
        </w:tc>
        <w:tc>
          <w:tcPr>
            <w:tcW w:type="dxa" w:w="1371"/>
          </w:tcPr>
          <w:p>
            <w:pPr>
              <w:spacing w:after="0" w:line="240" w:lineRule="auto"/>
            </w:pPr>
            <w:r>
              <w:rPr>
                <w:sz w:val="16"/>
              </w:rPr>
              <w:t>1191 Rincón West</w:t>
            </w:r>
          </w:p>
        </w:tc>
        <w:tc>
          <w:tcPr>
            <w:tcW w:type="dxa" w:w="1898"/>
          </w:tcPr>
          <w:p>
            <w:pPr>
              <w:spacing w:after="0" w:line="240" w:lineRule="auto"/>
            </w:pPr>
            <w:r>
              <w:rPr>
                <w:sz w:val="16"/>
              </w:rPr>
              <w:t>La ficha dice AL&amp;E 100%, pero las fuentes dan AL&amp;E 80,1% y Stellantis 19,9%. Sin operador y unidad mal rotulada. Informe nuevo publicado en borrador (generate, 33.935 caracteres, 21 fuentes).</w:t>
            </w:r>
          </w:p>
        </w:tc>
        <w:tc>
          <w:tcPr>
            <w:tcW w:type="dxa" w:w="1291"/>
          </w:tcPr>
          <w:p>
            <w:pPr>
              <w:spacing w:after="0" w:line="240" w:lineRule="auto"/>
            </w:pPr>
            <w:r>
              <w:rPr>
                <w:sz w:val="16"/>
              </w:rPr>
              <w:t>Corregir participación, operador y unidad</w:t>
            </w:r>
          </w:p>
        </w:tc>
        <w:tc>
          <w:tcPr>
            <w:tcW w:type="dxa" w:w="1050"/>
          </w:tcPr>
          <w:p>
            <w:pPr>
              <w:spacing w:after="0" w:line="240" w:lineRule="auto"/>
            </w:pPr>
            <w:r>
              <w:rPr>
                <w:sz w:val="16"/>
              </w:rPr>
              <w:t>Marcelo en Qhawana</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H23</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Dato incorrecto en ficha Qhawana</w:t>
            </w:r>
          </w:p>
        </w:tc>
        <w:tc>
          <w:tcPr>
            <w:tcW w:type="dxa" w:w="1371"/>
            <w:shd w:val="clear" w:color="auto" w:fill="EEF2F7"/>
          </w:tcPr>
          <w:p>
            <w:pPr>
              <w:spacing w:after="0" w:line="240" w:lineRule="auto"/>
            </w:pPr>
            <w:r>
              <w:rPr>
                <w:sz w:val="16"/>
              </w:rPr>
              <w:t>1189 Pocitos I</w:t>
            </w:r>
          </w:p>
        </w:tc>
        <w:tc>
          <w:tcPr>
            <w:tcW w:type="dxa" w:w="1898"/>
            <w:shd w:val="clear" w:color="auto" w:fill="EEF2F7"/>
          </w:tcPr>
          <w:p>
            <w:pPr>
              <w:spacing w:after="0" w:line="240" w:lineRule="auto"/>
            </w:pPr>
            <w:r>
              <w:rPr>
                <w:sz w:val="16"/>
              </w:rPr>
              <w:t>Titularidad: la ficha dice American Salars Lithium, pero desde el 05/09/2025 Vanguard Mining Corp. (CSE: UUU, ex Recharge) rescindió el acuerdo y conserva el 100%. Tras la retractación ante la BCSC del 06/05/2026 el proyecto ya no tiene estimación de recursos vigente: el «0,07 Mt a 101 mg/L» es un recurso histórico de 70 kt LCE extraíble, y el combinado Pocitos 1+2 es 760 kt LCE. American Salars cotiza en la CSE, no en la TSXV. Superficie vacía (unas 800 ha). «Exploración Avanzada» contradice el NI 43-101 de Vanguard 2026 (exploración temprana). Informe nuevo publicado en borrador (generate, 22 fuentes).</w:t>
            </w:r>
          </w:p>
        </w:tc>
        <w:tc>
          <w:tcPr>
            <w:tcW w:type="dxa" w:w="1291"/>
            <w:shd w:val="clear" w:color="auto" w:fill="EEF2F7"/>
          </w:tcPr>
          <w:p>
            <w:pPr>
              <w:spacing w:after="0" w:line="240" w:lineRule="auto"/>
            </w:pPr>
            <w:r>
              <w:rPr>
                <w:sz w:val="16"/>
              </w:rPr>
              <w:t>Corregir titular, recurso (marcar histórico), bolsa, superficie y etapa</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H24</w:t>
            </w:r>
          </w:p>
        </w:tc>
        <w:tc>
          <w:tcPr>
            <w:tcW w:type="dxa" w:w="970"/>
          </w:tcPr>
          <w:p>
            <w:pPr>
              <w:spacing w:after="0" w:line="240" w:lineRule="auto"/>
            </w:pPr>
            <w:r>
              <w:rPr>
                <w:sz w:val="16"/>
              </w:rPr>
              <w:t>2026-10-30</w:t>
            </w:r>
          </w:p>
        </w:tc>
        <w:tc>
          <w:tcPr>
            <w:tcW w:type="dxa" w:w="1211"/>
          </w:tcPr>
          <w:p>
            <w:pPr>
              <w:spacing w:after="0" w:line="240" w:lineRule="auto"/>
            </w:pPr>
            <w:r>
              <w:rPr>
                <w:sz w:val="16"/>
              </w:rPr>
              <w:t>Dato a revisar en ficha Qhawana</w:t>
            </w:r>
          </w:p>
        </w:tc>
        <w:tc>
          <w:tcPr>
            <w:tcW w:type="dxa" w:w="1371"/>
          </w:tcPr>
          <w:p>
            <w:pPr>
              <w:spacing w:after="0" w:line="240" w:lineRule="auto"/>
            </w:pPr>
            <w:r>
              <w:rPr>
                <w:sz w:val="16"/>
              </w:rPr>
              <w:t>1059 Pozuelos-Pastos Grandes</w:t>
            </w:r>
          </w:p>
        </w:tc>
        <w:tc>
          <w:tcPr>
            <w:tcW w:type="dxa" w:w="1898"/>
          </w:tcPr>
          <w:p>
            <w:pPr>
              <w:spacing w:after="0" w:line="240" w:lineRule="auto"/>
            </w:pPr>
            <w:r>
              <w:rPr>
                <w:sz w:val="16"/>
              </w:rPr>
              <w:t>La ficha tiene exactamente la misma latitud que 1074 (-24,57086) pero queda 27,5 km al oeste. Detectado por el Comparador.</w:t>
            </w:r>
          </w:p>
        </w:tc>
        <w:tc>
          <w:tcPr>
            <w:tcW w:type="dxa" w:w="1291"/>
          </w:tcPr>
          <w:p>
            <w:pPr>
              <w:spacing w:after="0" w:line="240" w:lineRule="auto"/>
            </w:pPr>
            <w:r>
              <w:rPr>
                <w:sz w:val="16"/>
              </w:rPr>
              <w:t>Revisar coordenadas de 1059</w:t>
            </w:r>
          </w:p>
        </w:tc>
        <w:tc>
          <w:tcPr>
            <w:tcW w:type="dxa" w:w="1050"/>
          </w:tcPr>
          <w:p>
            <w:pPr>
              <w:spacing w:after="0" w:line="240" w:lineRule="auto"/>
            </w:pPr>
            <w:r>
              <w:rPr>
                <w:sz w:val="16"/>
              </w:rPr>
              <w:t>Marcelo en Qhawana</w:t>
            </w:r>
          </w:p>
        </w:tc>
        <w:tc>
          <w:tcPr>
            <w:tcW w:type="dxa" w:w="1211"/>
          </w:tcPr>
          <w:p>
            <w:pPr>
              <w:spacing w:after="0" w:line="240" w:lineRule="auto"/>
            </w:pPr>
            <w:r>
              <w:rPr>
                <w:sz w:val="16"/>
              </w:rPr>
              <w:t>Abierto</w:t>
            </w:r>
          </w:p>
        </w:tc>
      </w:tr>
      <w:tr>
        <w:trPr>
          <w:cantSplit/>
        </w:trPr>
        <w:tc>
          <w:tcPr>
            <w:tcW w:type="dxa" w:w="409"/>
            <w:shd w:val="clear" w:color="auto" w:fill="EEF2F7"/>
          </w:tcPr>
          <w:p>
            <w:pPr>
              <w:spacing w:after="0" w:line="240" w:lineRule="auto"/>
            </w:pPr>
            <w:r>
              <w:rPr>
                <w:sz w:val="16"/>
              </w:rPr>
              <w:t>H25</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Error en informe publicado</w:t>
            </w:r>
          </w:p>
        </w:tc>
        <w:tc>
          <w:tcPr>
            <w:tcW w:type="dxa" w:w="1371"/>
            <w:shd w:val="clear" w:color="auto" w:fill="EEF2F7"/>
          </w:tcPr>
          <w:p>
            <w:pPr>
              <w:spacing w:after="0" w:line="240" w:lineRule="auto"/>
            </w:pPr>
            <w:r>
              <w:rPr>
                <w:sz w:val="16"/>
              </w:rPr>
              <w:t>1074 Pastos Grandes</w:t>
            </w:r>
          </w:p>
        </w:tc>
        <w:tc>
          <w:tcPr>
            <w:tcW w:type="dxa" w:w="1898"/>
            <w:shd w:val="clear" w:color="auto" w:fill="EEF2F7"/>
          </w:tcPr>
          <w:p>
            <w:pPr>
              <w:spacing w:after="0" w:line="240" w:lineRule="auto"/>
            </w:pPr>
            <w:r>
              <w:rPr>
                <w:sz w:val="16"/>
              </w:rPr>
              <w:t>El publicado previo (22/09/2026) tenía errores de fondo: producto «cloruro de litio» (es carbonato 40.000 t e hidróxido 12.500 t), superficie «más de 24.000 ha» (son 20.095 ha), estado «Factibilidad» (es Scoping Study del 18/12/2025), USD 180 M atribuidos a Ganfeng (es una nota convertible de LAR; Ganfeng tenía 14,9% de PGCo), JV 67/33 como hecho (cierre sin confirmar), RIGI como vigente (está en evaluación), riesgo país «el más bajo» (su fuente dice lo contrario) y datos sin fuente (2.000 camas, ISO 14001, mesas, contacto en Zug). Reemplazado en el sitio por refresh en borrador (29 fuentes, comparativo: reemplazar, sin bloqueos). Fuentes [20], [21] y [29] sin verificación directa (rótulo conservador). Gaps menores aceptados: generated_at, 12.729 ha citadas con [1] en vez de [3], y [28] sin aclaración.</w:t>
            </w:r>
          </w:p>
        </w:tc>
        <w:tc>
          <w:tcPr>
            <w:tcW w:type="dxa" w:w="1291"/>
            <w:shd w:val="clear" w:color="auto" w:fill="EEF2F7"/>
          </w:tcPr>
          <w:p>
            <w:pPr>
              <w:spacing w:after="0" w:line="240" w:lineRule="auto"/>
            </w:pPr>
            <w:r>
              <w:rPr>
                <w:sz w:val="16"/>
              </w:rPr>
              <w:t>Publicar el borrador nuevo al aprobarlo; revisar si la ficha repite los errores</w:t>
            </w:r>
          </w:p>
        </w:tc>
        <w:tc>
          <w:tcPr>
            <w:tcW w:type="dxa" w:w="1050"/>
            <w:shd w:val="clear" w:color="auto" w:fill="EEF2F7"/>
          </w:tcPr>
          <w:p>
            <w:pPr>
              <w:spacing w:after="0" w:line="240" w:lineRule="auto"/>
            </w:pPr>
            <w:r>
              <w:rPr>
                <w:sz w:val="16"/>
              </w:rPr>
              <w:t>Marcelo en Qhawana</w:t>
            </w:r>
          </w:p>
        </w:tc>
        <w:tc>
          <w:tcPr>
            <w:tcW w:type="dxa" w:w="1211"/>
            <w:shd w:val="clear" w:color="auto" w:fill="EEF2F7"/>
          </w:tcPr>
          <w:p>
            <w:pPr>
              <w:spacing w:after="0" w:line="240" w:lineRule="auto"/>
            </w:pPr>
            <w:r>
              <w:rPr>
                <w:sz w:val="16"/>
              </w:rPr>
              <w:t>Abierto</w:t>
            </w:r>
          </w:p>
        </w:tc>
      </w:tr>
      <w:tr>
        <w:trPr>
          <w:cantSplit/>
        </w:trPr>
        <w:tc>
          <w:tcPr>
            <w:tcW w:type="dxa" w:w="409"/>
          </w:tcPr>
          <w:p>
            <w:pPr>
              <w:spacing w:after="0" w:line="240" w:lineRule="auto"/>
            </w:pPr>
            <w:r>
              <w:rPr>
                <w:sz w:val="16"/>
              </w:rPr>
              <w:t>H26</w:t>
            </w:r>
          </w:p>
        </w:tc>
        <w:tc>
          <w:tcPr>
            <w:tcW w:type="dxa" w:w="970"/>
          </w:tcPr>
          <w:p>
            <w:pPr>
              <w:spacing w:after="0" w:line="240" w:lineRule="auto"/>
            </w:pPr>
            <w:r>
              <w:rPr>
                <w:sz w:val="16"/>
              </w:rPr>
              <w:t>2026-10-30</w:t>
            </w:r>
          </w:p>
        </w:tc>
        <w:tc>
          <w:tcPr>
            <w:tcW w:type="dxa" w:w="1211"/>
          </w:tcPr>
          <w:p>
            <w:pPr>
              <w:spacing w:after="0" w:line="240" w:lineRule="auto"/>
            </w:pPr>
            <w:r>
              <w:rPr>
                <w:sz w:val="16"/>
              </w:rPr>
              <w:t>Error de atribución detectado en el flujo</w:t>
            </w:r>
          </w:p>
        </w:tc>
        <w:tc>
          <w:tcPr>
            <w:tcW w:type="dxa" w:w="1371"/>
          </w:tcPr>
          <w:p>
            <w:pPr>
              <w:spacing w:after="0" w:line="240" w:lineRule="auto"/>
            </w:pPr>
            <w:r>
              <w:rPr>
                <w:sz w:val="16"/>
              </w:rPr>
              <w:t>1074 y 1059</w:t>
            </w:r>
          </w:p>
        </w:tc>
        <w:tc>
          <w:tcPr>
            <w:tcW w:type="dxa" w:w="1898"/>
          </w:tcPr>
          <w:p>
            <w:pPr>
              <w:spacing w:after="0" w:line="240" w:lineRule="auto"/>
            </w:pPr>
            <w:r>
              <w:rPr>
                <w:sz w:val="16"/>
              </w:rPr>
              <w:t>Un proceso participativo del 11/02/2025, que era de Lithea (1059), estaba atribuido a Pastos Grandes (PPG). Lo detectó el Comparador y se corrigió en la v3 de 1074 antes de publicar.</w:t>
            </w:r>
          </w:p>
        </w:tc>
        <w:tc>
          <w:tcPr>
            <w:tcW w:type="dxa" w:w="1291"/>
          </w:tcPr>
          <w:p>
            <w:pPr>
              <w:spacing w:after="0" w:line="240" w:lineRule="auto"/>
            </w:pPr>
            <w:r>
              <w:rPr>
                <w:sz w:val="16"/>
              </w:rPr>
              <w:t>Ninguna</w:t>
            </w:r>
          </w:p>
        </w:tc>
        <w:tc>
          <w:tcPr>
            <w:tcW w:type="dxa" w:w="1050"/>
          </w:tcPr>
          <w:p>
            <w:pPr>
              <w:spacing w:after="0" w:line="240" w:lineRule="auto"/>
            </w:pPr>
            <w:r>
              <w:rPr>
                <w:sz w:val="16"/>
              </w:rPr>
              <w:t>Equipo de bots</w:t>
            </w:r>
          </w:p>
        </w:tc>
        <w:tc>
          <w:tcPr>
            <w:tcW w:type="dxa" w:w="1211"/>
          </w:tcPr>
          <w:p>
            <w:pPr>
              <w:spacing w:after="0" w:line="240" w:lineRule="auto"/>
            </w:pPr>
            <w:r>
              <w:rPr>
                <w:sz w:val="16"/>
              </w:rPr>
              <w:t>Resuelto (tanda 3)</w:t>
            </w:r>
          </w:p>
        </w:tc>
      </w:tr>
      <w:tr>
        <w:trPr>
          <w:cantSplit/>
        </w:trPr>
        <w:tc>
          <w:tcPr>
            <w:tcW w:type="dxa" w:w="409"/>
            <w:shd w:val="clear" w:color="auto" w:fill="EEF2F7"/>
          </w:tcPr>
          <w:p>
            <w:pPr>
              <w:spacing w:after="0" w:line="240" w:lineRule="auto"/>
            </w:pPr>
            <w:r>
              <w:rPr>
                <w:sz w:val="16"/>
              </w:rPr>
              <w:t>H27</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Falla del flujo o scripts</w:t>
            </w:r>
          </w:p>
        </w:tc>
        <w:tc>
          <w:tcPr>
            <w:tcW w:type="dxa" w:w="1371"/>
            <w:shd w:val="clear" w:color="auto" w:fill="EEF2F7"/>
          </w:tcPr>
          <w:p>
            <w:pPr>
              <w:spacing w:after="0" w:line="240" w:lineRule="auto"/>
            </w:pPr>
            <w:r>
              <w:rPr>
                <w:sz w:val="16"/>
              </w:rPr>
              <w:t>Proceso entre bots</w:t>
            </w:r>
          </w:p>
        </w:tc>
        <w:tc>
          <w:tcPr>
            <w:tcW w:type="dxa" w:w="1898"/>
            <w:shd w:val="clear" w:color="auto" w:fill="EEF2F7"/>
          </w:tcPr>
          <w:p>
            <w:pPr>
              <w:spacing w:after="0" w:line="240" w:lineRule="auto"/>
            </w:pPr>
            <w:r>
              <w:rPr>
                <w:sz w:val="16"/>
              </w:rPr>
              <w:t>Un hash pasado entre bots sin indicar el algoritmo (sha256 vs md5) confundió al Comparador.</w:t>
            </w:r>
          </w:p>
        </w:tc>
        <w:tc>
          <w:tcPr>
            <w:tcW w:type="dxa" w:w="1291"/>
            <w:shd w:val="clear" w:color="auto" w:fill="EEF2F7"/>
          </w:tcPr>
          <w:p>
            <w:pPr>
              <w:spacing w:after="0" w:line="240" w:lineRule="auto"/>
            </w:pPr>
            <w:r>
              <w:rPr>
                <w:sz w:val="16"/>
              </w:rPr>
              <w:t xml:space="preserve">Regla: todo hash que se pase entre bots indica el algoritmo (por ejemplo </w:t>
            </w:r>
            <w:r>
              <w:rPr>
                <w:rFonts w:ascii="Consolas" w:hAnsi="Consolas"/>
                <w:color w:val="8B1E3F"/>
                <w:sz w:val="14"/>
              </w:rPr>
              <w:t>sha256:...</w:t>
            </w:r>
            <w:r>
              <w:rPr>
                <w:sz w:val="16"/>
              </w:rPr>
              <w:t>)</w:t>
            </w:r>
          </w:p>
        </w:tc>
        <w:tc>
          <w:tcPr>
            <w:tcW w:type="dxa" w:w="1050"/>
            <w:shd w:val="clear" w:color="auto" w:fill="EEF2F7"/>
          </w:tcPr>
          <w:p>
            <w:pPr>
              <w:spacing w:after="0" w:line="240" w:lineRule="auto"/>
            </w:pPr>
            <w:r>
              <w:rPr>
                <w:sz w:val="16"/>
              </w:rPr>
              <w:t>Equipo de bots</w:t>
            </w:r>
          </w:p>
        </w:tc>
        <w:tc>
          <w:tcPr>
            <w:tcW w:type="dxa" w:w="1211"/>
            <w:shd w:val="clear" w:color="auto" w:fill="EEF2F7"/>
          </w:tcPr>
          <w:p>
            <w:pPr>
              <w:spacing w:after="0" w:line="240" w:lineRule="auto"/>
            </w:pPr>
            <w:r>
              <w:rPr>
                <w:sz w:val="16"/>
              </w:rPr>
              <w:t>Resuelto (regla en guía v2.4)</w:t>
            </w:r>
          </w:p>
        </w:tc>
      </w:tr>
      <w:tr>
        <w:trPr>
          <w:cantSplit/>
        </w:trPr>
        <w:tc>
          <w:tcPr>
            <w:tcW w:type="dxa" w:w="409"/>
          </w:tcPr>
          <w:p>
            <w:pPr>
              <w:spacing w:after="0" w:line="240" w:lineRule="auto"/>
            </w:pPr>
            <w:r>
              <w:rPr>
                <w:sz w:val="16"/>
              </w:rPr>
              <w:t>H28</w:t>
            </w:r>
          </w:p>
        </w:tc>
        <w:tc>
          <w:tcPr>
            <w:tcW w:type="dxa" w:w="970"/>
          </w:tcPr>
          <w:p>
            <w:pPr>
              <w:spacing w:after="0" w:line="240" w:lineRule="auto"/>
            </w:pPr>
            <w:r>
              <w:rPr>
                <w:sz w:val="16"/>
              </w:rPr>
              <w:t>2026-10-30</w:t>
            </w:r>
          </w:p>
        </w:tc>
        <w:tc>
          <w:tcPr>
            <w:tcW w:type="dxa" w:w="1211"/>
          </w:tcPr>
          <w:p>
            <w:pPr>
              <w:spacing w:after="0" w:line="240" w:lineRule="auto"/>
            </w:pPr>
            <w:r>
              <w:rPr>
                <w:sz w:val="16"/>
              </w:rPr>
              <w:t>Observación del flujo</w:t>
            </w:r>
          </w:p>
        </w:tc>
        <w:tc>
          <w:tcPr>
            <w:tcW w:type="dxa" w:w="1371"/>
          </w:tcPr>
          <w:p>
            <w:pPr>
              <w:spacing w:after="0" w:line="240" w:lineRule="auto"/>
            </w:pPr>
            <w:r>
              <w:rPr>
                <w:sz w:val="16"/>
              </w:rPr>
              <w:t>Librarian, deploy</w:t>
            </w:r>
          </w:p>
        </w:tc>
        <w:tc>
          <w:tcPr>
            <w:tcW w:type="dxa" w:w="1898"/>
          </w:tcPr>
          <w:p>
            <w:pPr>
              <w:spacing w:after="0" w:line="240" w:lineRule="auto"/>
            </w:pPr>
            <w:r>
              <w:rPr>
                <w:sz w:val="16"/>
              </w:rPr>
              <w:t>La revisión de seguridad frenó deploys del Librarian; se resolvió con un reintento aprobado. No es un error del flujo, pero puede demorar la publicación.</w:t>
            </w:r>
          </w:p>
        </w:tc>
        <w:tc>
          <w:tcPr>
            <w:tcW w:type="dxa" w:w="1291"/>
          </w:tcPr>
          <w:p>
            <w:pPr>
              <w:spacing w:after="0" w:line="240" w:lineRule="auto"/>
            </w:pPr>
            <w:r>
              <w:rPr>
                <w:sz w:val="16"/>
              </w:rPr>
              <w:t>Tenerlo en cuenta al estimar tiempos; si se repite, pedir la aprobación sin cambiar el comando</w:t>
            </w:r>
          </w:p>
        </w:tc>
        <w:tc>
          <w:tcPr>
            <w:tcW w:type="dxa" w:w="1050"/>
          </w:tcPr>
          <w:p>
            <w:pPr>
              <w:spacing w:after="0" w:line="240" w:lineRule="auto"/>
            </w:pPr>
            <w:r>
              <w:rPr>
                <w:sz w:val="16"/>
              </w:rPr>
              <w:t>Equipo de bots</w:t>
            </w:r>
          </w:p>
        </w:tc>
        <w:tc>
          <w:tcPr>
            <w:tcW w:type="dxa" w:w="1211"/>
          </w:tcPr>
          <w:p>
            <w:pPr>
              <w:spacing w:after="0" w:line="240" w:lineRule="auto"/>
            </w:pPr>
            <w:r>
              <w:rPr>
                <w:sz w:val="16"/>
              </w:rPr>
              <w:t>Abierto (observación)</w:t>
            </w:r>
          </w:p>
        </w:tc>
      </w:tr>
      <w:tr>
        <w:trPr>
          <w:cantSplit/>
        </w:trPr>
        <w:tc>
          <w:tcPr>
            <w:tcW w:type="dxa" w:w="409"/>
            <w:shd w:val="clear" w:color="auto" w:fill="EEF2F7"/>
          </w:tcPr>
          <w:p>
            <w:pPr>
              <w:spacing w:after="0" w:line="240" w:lineRule="auto"/>
            </w:pPr>
            <w:r>
              <w:rPr>
                <w:sz w:val="16"/>
              </w:rPr>
              <w:t>H29</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Decisión pendiente</w:t>
            </w:r>
          </w:p>
        </w:tc>
        <w:tc>
          <w:tcPr>
            <w:tcW w:type="dxa" w:w="1371"/>
            <w:shd w:val="clear" w:color="auto" w:fill="EEF2F7"/>
          </w:tcPr>
          <w:p>
            <w:pPr>
              <w:spacing w:after="0" w:line="240" w:lineRule="auto"/>
            </w:pPr>
            <w:r>
              <w:rPr>
                <w:sz w:val="16"/>
              </w:rPr>
              <w:t>Guía maestra</w:t>
            </w:r>
          </w:p>
        </w:tc>
        <w:tc>
          <w:tcPr>
            <w:tcW w:type="dxa" w:w="1898"/>
            <w:shd w:val="clear" w:color="auto" w:fill="EEF2F7"/>
          </w:tcPr>
          <w:p>
            <w:pPr>
              <w:spacing w:after="0" w:line="240" w:lineRule="auto"/>
            </w:pPr>
            <w:r>
              <w:rPr>
                <w:sz w:val="16"/>
              </w:rPr>
              <w:t>Sumar el cierre de la tanda 3 (1187, 1191, 1190, 1189 y 1074) a la sección 13.1 y la cola restante a la 6.9.</w:t>
            </w:r>
          </w:p>
        </w:tc>
        <w:tc>
          <w:tcPr>
            <w:tcW w:type="dxa" w:w="1291"/>
            <w:shd w:val="clear" w:color="auto" w:fill="EEF2F7"/>
          </w:tcPr>
          <w:p>
            <w:pPr>
              <w:spacing w:after="0" w:line="240" w:lineRule="auto"/>
            </w:pPr>
            <w:r>
              <w:rPr>
                <w:sz w:val="16"/>
              </w:rPr>
              <w:t>Actualizar la guía</w:t>
            </w:r>
          </w:p>
        </w:tc>
        <w:tc>
          <w:tcPr>
            <w:tcW w:type="dxa" w:w="1050"/>
            <w:shd w:val="clear" w:color="auto" w:fill="EEF2F7"/>
          </w:tcPr>
          <w:p>
            <w:pPr>
              <w:spacing w:after="0" w:line="240" w:lineRule="auto"/>
            </w:pPr>
            <w:r>
              <w:rPr>
                <w:sz w:val="16"/>
              </w:rPr>
              <w:t>Jarvis</w:t>
            </w:r>
          </w:p>
        </w:tc>
        <w:tc>
          <w:tcPr>
            <w:tcW w:type="dxa" w:w="1211"/>
            <w:shd w:val="clear" w:color="auto" w:fill="EEF2F7"/>
          </w:tcPr>
          <w:p>
            <w:pPr>
              <w:spacing w:after="0" w:line="240" w:lineRule="auto"/>
            </w:pPr>
            <w:r>
              <w:rPr>
                <w:sz w:val="16"/>
              </w:rPr>
              <w:t>Resuelto (guía v2.4)</w:t>
            </w:r>
          </w:p>
        </w:tc>
      </w:tr>
      <w:tr>
        <w:trPr>
          <w:cantSplit/>
        </w:trPr>
        <w:tc>
          <w:tcPr>
            <w:tcW w:type="dxa" w:w="409"/>
          </w:tcPr>
          <w:p>
            <w:pPr>
              <w:spacing w:after="0" w:line="240" w:lineRule="auto"/>
            </w:pPr>
            <w:r>
              <w:rPr>
                <w:sz w:val="16"/>
              </w:rPr>
              <w:t>H30</w:t>
            </w:r>
          </w:p>
        </w:tc>
        <w:tc>
          <w:tcPr>
            <w:tcW w:type="dxa" w:w="970"/>
          </w:tcPr>
          <w:p>
            <w:pPr>
              <w:spacing w:after="0" w:line="240" w:lineRule="auto"/>
            </w:pPr>
            <w:r>
              <w:rPr>
                <w:sz w:val="16"/>
              </w:rPr>
              <w:t>2026-10-30</w:t>
            </w:r>
          </w:p>
        </w:tc>
        <w:tc>
          <w:tcPr>
            <w:tcW w:type="dxa" w:w="1211"/>
          </w:tcPr>
          <w:p>
            <w:pPr>
              <w:spacing w:after="0" w:line="240" w:lineRule="auto"/>
            </w:pPr>
            <w:r>
              <w:rPr>
                <w:sz w:val="16"/>
              </w:rPr>
              <w:t>Corrección de documentación</w:t>
            </w:r>
          </w:p>
        </w:tc>
        <w:tc>
          <w:tcPr>
            <w:tcW w:type="dxa" w:w="1371"/>
          </w:tcPr>
          <w:p>
            <w:pPr>
              <w:spacing w:after="0" w:line="240" w:lineRule="auto"/>
            </w:pPr>
            <w:r>
              <w:rPr>
                <w:sz w:val="16"/>
              </w:rPr>
              <w:t>Guía maestra y este documento</w:t>
            </w:r>
          </w:p>
        </w:tc>
        <w:tc>
          <w:tcPr>
            <w:tcW w:type="dxa" w:w="1898"/>
          </w:tcPr>
          <w:p>
            <w:pPr>
              <w:spacing w:after="0" w:line="240" w:lineRule="auto"/>
            </w:pPr>
            <w:r>
              <w:rPr>
                <w:sz w:val="16"/>
              </w:rPr>
              <w:t>La guía usaba datos de ficha desmentidos por los informes: 1190 figuraba como «PULAR (Salta Lithium)» sin aclarar que el titular real es Power Minerals S.A. (ex PepinNini). Ahora figuran los datos verificados y la ficha entre paréntesis: 1190 Power Minerals S.A., solo Medido 91.000 t e Inferido 82.000 t LCE (ficha: «Salta Lithium», «Medidos e Indicados» en «Mt»); 1191 AL&amp;E 80,1% y Stellantis 19,9% (ficha: 100%); 1189 Vanguard Mining Corp. 100%, sin recurso vigente tras la retractación BCSC del 06/05/2026 (ficha: American Salars); 1187 NEXT Lithium vía Vertex, ubicación real unos 6,6 km al SSE (ficha: LPI, coordenadas de 1066); 1177 capex US$ 500 M fase 1 (DIA) y US$ 726 M (IIEP) (ficha: US$ 700 M). El nombre visible del sitio sigue siendo el de la ficha («PULAR (Salta Lithium)»).</w:t>
            </w:r>
          </w:p>
        </w:tc>
        <w:tc>
          <w:tcPr>
            <w:tcW w:type="dxa" w:w="1291"/>
          </w:tcPr>
          <w:p>
            <w:pPr>
              <w:spacing w:after="0" w:line="240" w:lineRule="auto"/>
            </w:pPr>
            <w:r>
              <w:rPr>
                <w:sz w:val="16"/>
              </w:rPr>
              <w:t>Regla 12 de la sección 6.9: manda el dato verificado</w:t>
            </w:r>
          </w:p>
        </w:tc>
        <w:tc>
          <w:tcPr>
            <w:tcW w:type="dxa" w:w="1050"/>
          </w:tcPr>
          <w:p>
            <w:pPr>
              <w:spacing w:after="0" w:line="240" w:lineRule="auto"/>
            </w:pPr>
            <w:r>
              <w:rPr>
                <w:sz w:val="16"/>
              </w:rPr>
              <w:t>Jarvis</w:t>
            </w:r>
          </w:p>
        </w:tc>
        <w:tc>
          <w:tcPr>
            <w:tcW w:type="dxa" w:w="1211"/>
          </w:tcPr>
          <w:p>
            <w:pPr>
              <w:spacing w:after="0" w:line="240" w:lineRule="auto"/>
            </w:pPr>
            <w:r>
              <w:rPr>
                <w:sz w:val="16"/>
              </w:rPr>
              <w:t>Resuelto (guía v2.4.1)</w:t>
            </w:r>
          </w:p>
        </w:tc>
      </w:tr>
      <w:tr>
        <w:trPr>
          <w:cantSplit/>
        </w:trPr>
        <w:tc>
          <w:tcPr>
            <w:tcW w:type="dxa" w:w="409"/>
            <w:shd w:val="clear" w:color="auto" w:fill="EEF2F7"/>
          </w:tcPr>
          <w:p>
            <w:pPr>
              <w:spacing w:after="0" w:line="240" w:lineRule="auto"/>
            </w:pPr>
            <w:r>
              <w:rPr>
                <w:sz w:val="16"/>
              </w:rPr>
              <w:t>H13</w:t>
            </w:r>
          </w:p>
        </w:tc>
        <w:tc>
          <w:tcPr>
            <w:tcW w:type="dxa" w:w="970"/>
            <w:shd w:val="clear" w:color="auto" w:fill="EEF2F7"/>
          </w:tcPr>
          <w:p>
            <w:pPr>
              <w:spacing w:after="0" w:line="240" w:lineRule="auto"/>
            </w:pPr>
            <w:r>
              <w:rPr>
                <w:sz w:val="16"/>
              </w:rPr>
              <w:t>2026-10-30</w:t>
            </w:r>
          </w:p>
        </w:tc>
        <w:tc>
          <w:tcPr>
            <w:tcW w:type="dxa" w:w="1211"/>
            <w:shd w:val="clear" w:color="auto" w:fill="EEF2F7"/>
          </w:tcPr>
          <w:p>
            <w:pPr>
              <w:spacing w:after="0" w:line="240" w:lineRule="auto"/>
            </w:pPr>
            <w:r>
              <w:rPr>
                <w:sz w:val="16"/>
              </w:rPr>
              <w:t>Sugerencia de mejora</w:t>
            </w:r>
          </w:p>
        </w:tc>
        <w:tc>
          <w:tcPr>
            <w:tcW w:type="dxa" w:w="1371"/>
            <w:shd w:val="clear" w:color="auto" w:fill="EEF2F7"/>
          </w:tcPr>
          <w:p>
            <w:pPr>
              <w:spacing w:after="0" w:line="240" w:lineRule="auto"/>
            </w:pPr>
            <w:r>
              <w:rPr>
                <w:sz w:val="16"/>
              </w:rPr>
              <w:t>1056, 1390, Arizaro</w:t>
            </w:r>
          </w:p>
        </w:tc>
        <w:tc>
          <w:tcPr>
            <w:tcW w:type="dxa" w:w="1898"/>
            <w:shd w:val="clear" w:color="auto" w:fill="EEF2F7"/>
          </w:tcPr>
          <w:p>
            <w:pPr>
              <w:spacing w:after="0" w:line="240" w:lineRule="auto"/>
            </w:pPr>
            <w:r>
              <w:rPr>
                <w:sz w:val="16"/>
              </w:rPr>
              <w:t>Near-duplicados chequeados: Río Grande 1056 y 1390, y Arizaro (1063 vs 1057, 1064, 1065, 1085) son proyectos distintos.</w:t>
            </w:r>
          </w:p>
        </w:tc>
        <w:tc>
          <w:tcPr>
            <w:tcW w:type="dxa" w:w="1291"/>
            <w:shd w:val="clear" w:color="auto" w:fill="EEF2F7"/>
          </w:tcPr>
          <w:p>
            <w:pPr>
              <w:spacing w:after="0" w:line="240" w:lineRule="auto"/>
            </w:pPr>
            <w:r>
              <w:rPr>
                <w:sz w:val="16"/>
              </w:rPr>
              <w:t>Ninguna</w:t>
            </w:r>
          </w:p>
        </w:tc>
        <w:tc>
          <w:tcPr>
            <w:tcW w:type="dxa" w:w="1050"/>
            <w:shd w:val="clear" w:color="auto" w:fill="EEF2F7"/>
          </w:tcPr>
          <w:p>
            <w:pPr>
              <w:spacing w:after="0" w:line="240" w:lineRule="auto"/>
            </w:pPr>
            <w:r>
              <w:rPr>
                <w:sz w:val="16"/>
              </w:rPr>
              <w:t>Equipo de bots</w:t>
            </w:r>
          </w:p>
        </w:tc>
        <w:tc>
          <w:tcPr>
            <w:tcW w:type="dxa" w:w="1211"/>
            <w:shd w:val="clear" w:color="auto" w:fill="EEF2F7"/>
          </w:tcPr>
          <w:p>
            <w:pPr>
              <w:spacing w:after="0" w:line="240" w:lineRule="auto"/>
            </w:pPr>
            <w:r>
              <w:rPr>
                <w:sz w:val="16"/>
              </w:rPr>
              <w:t>Resuelto</w:t>
            </w:r>
          </w:p>
        </w:tc>
      </w:tr>
    </w:tbl>
    <w:p>
      <w:pPr>
        <w:spacing w:after="40"/>
      </w:pPr>
    </w:p>
    <w:p>
      <w:r>
        <w:br w:type="page"/>
      </w:r>
    </w:p>
    <w:p>
      <w:pPr>
        <w:pStyle w:val="Heading1"/>
      </w:pPr>
      <w:r>
        <w:t>A) Correcciones a hacer en Qhawana</w:t>
      </w:r>
    </w:p>
    <w:p>
      <w:pPr>
        <w:jc w:val="both"/>
      </w:pPr>
      <w:r>
        <w:rPr/>
        <w:t>Desde nuestro lado solo se hacen GET; estas las hace Marcelo en Qhawana.</w:t>
      </w:r>
    </w:p>
    <w:p>
      <w:pPr>
        <w:pStyle w:val="ListBullet"/>
      </w:pPr>
      <w:r>
        <w:rPr/>
        <w:t>H01: 1080 Sal de la Puna, corregir coordenadas (hoy iguales a 1177; 1080 está en Pastos Grandes).</w:t>
      </w:r>
    </w:p>
    <w:p>
      <w:pPr>
        <w:pStyle w:val="ListBullet"/>
      </w:pPr>
      <w:r>
        <w:rPr/>
        <w:t>H02: 1063 Arizaro, revisar si es duplicado de 1391 (Arizaro litio, Portfolio: Tibet Summit 2025 / Xizang Zhufeng 2026; hipótesis sin confirmar) o darlo de baja hasta tener expediente. Quitar el HTML de Altar.</w:t>
      </w:r>
    </w:p>
    <w:p>
      <w:pPr>
        <w:pStyle w:val="ListBullet"/>
      </w:pPr>
      <w:r>
        <w:rPr/>
        <w:t>H15: 1177, revisar el capex de la ficha (700 M) frente a IIEP (726 M) y DIA (500 M fase 1).</w:t>
      </w:r>
    </w:p>
    <w:p>
      <w:pPr>
        <w:pStyle w:val="ListBullet"/>
      </w:pPr>
      <w:r>
        <w:rPr/>
        <w:t>H19: 1187 Centenario, actualizar controlador (NEXT Lithium vía Vertex), coordenadas (hoy copiadas de 1066; la mina real queda unos 6,6 km al SSE) y etapa.</w:t>
      </w:r>
    </w:p>
    <w:p>
      <w:pPr>
        <w:pStyle w:val="ListBullet"/>
      </w:pPr>
      <w:r>
        <w:rPr/>
        <w:t>H20: 1190 Pular, recurso solo Medido 91.000 t LCE (más Inferido 82.000 t), unidad en t LCE, titular Power Minerals S.A. (ex PepinNini; la ficha dice «Salta Lithium»). El sitio muestra el nombre de la ficha, «PULAR (Salta Lithium)».</w:t>
      </w:r>
    </w:p>
    <w:p>
      <w:pPr>
        <w:pStyle w:val="ListBullet"/>
      </w:pPr>
      <w:r>
        <w:rPr/>
        <w:t>H22: 1191 Rincón West, AL&amp;E 80,1% y Stellantis 19,9% (no 100%).</w:t>
      </w:r>
    </w:p>
    <w:p>
      <w:pPr>
        <w:pStyle w:val="ListBullet"/>
      </w:pPr>
      <w:r>
        <w:rPr/>
        <w:t>H23: 1189 Pocitos I, titular Vanguard Mining Corp. (100%; la ficha dice American Salars), recurso histórico sin estimación vigente tras la retractación BCSC del 06/05/2026.</w:t>
      </w:r>
    </w:p>
    <w:p>
      <w:pPr>
        <w:pStyle w:val="ListBullet"/>
      </w:pPr>
      <w:r>
        <w:rPr/>
        <w:t>H24: 1059, revisar coordenadas (misma latitud que 1074, 27,5 km al oeste).</w:t>
      </w:r>
    </w:p>
    <w:p>
      <w:pPr>
        <w:pStyle w:val="ListBullet"/>
      </w:pPr>
      <w:r>
        <w:rPr/>
        <w:t>H03, H04, H14 y H25: 1087, 1091, 1177 y 1074, reemplazar los informes publicados por los borradores corregidos cuando se aprueben, y revisar la ficha si repite los errores.</w:t>
      </w:r>
    </w:p>
    <w:p>
      <w:r>
        <w:br w:type="page"/>
      </w:r>
    </w:p>
    <w:p>
      <w:pPr>
        <w:pStyle w:val="Heading1"/>
      </w:pPr>
      <w:r>
        <w:t>B) Proyectos con información pública insuficiente o dudosos</w:t>
      </w:r>
    </w:p>
    <w:p>
      <w:pPr>
        <w:pStyle w:val="ListBullet"/>
      </w:pPr>
      <w:r>
        <w:rPr/>
        <w:t>1082 Taca Sal IV: titular original Recursos Noa S.A. (mensura Expte. 19.674, BO 2012); titular actual Ruben Omar Diego (persona física, Portfolio 2024 y 2025); unas 435 ha (cálculo propio); Salar de Taca Taca / Arizaro; exploración avanzada. El Researcher juntó 13 URLs, 4 primarias. Se arma informe completo con huecos marcados como «sin dato público oficial».</w:t>
      </w:r>
    </w:p>
    <w:p>
      <w:pPr>
        <w:pStyle w:val="ListBullet"/>
      </w:pPr>
      <w:r>
        <w:rPr/>
        <w:t>1082 Taca Sal IV: publicado en borrador (29.842 caracteres, 16 fuentes) con huecos rotulados.</w:t>
      </w:r>
    </w:p>
    <w:p>
      <w:pPr>
        <w:pStyle w:val="ListBullet"/>
      </w:pPr>
      <w:r>
        <w:rPr/>
        <w:t>1190 Pular (H21): 12 fuentes propias; publicado en borrador con huecos rotulados (sin ambiental, social, RIGI, infraestructura ni economía).</w:t>
      </w:r>
    </w:p>
    <w:p>
      <w:pPr>
        <w:pStyle w:val="ListBullet"/>
      </w:pPr>
      <w:r>
        <w:rPr/>
        <w:t>Cola restante de litio de Salta: el cluster Arizaro (1064, 1065, 1085, 1391), Alba X (1089), Alcalina (1086) y otros probablemente tengan poca información pública.</w:t>
      </w:r>
    </w:p>
    <w:p>
      <w:pPr>
        <w:pStyle w:val="ListBullet"/>
      </w:pPr>
      <w:r>
        <w:rPr/>
        <w:t>1063 Arizaro: 26 URLs revisadas, sin titular ni expediente. No se escribió; posible duplicado de 1391.</w:t>
      </w:r>
    </w:p>
    <w:p>
      <w:r>
        <w:br w:type="page"/>
      </w:r>
    </w:p>
    <w:p>
      <w:pPr>
        <w:pStyle w:val="Heading1"/>
      </w:pPr>
      <w:r>
        <w:t>C) Fallas y mejoras del flujo</w:t>
      </w:r>
    </w:p>
    <w:p>
      <w:pPr>
        <w:pStyle w:val="ListBullet"/>
      </w:pPr>
      <w:r>
        <w:rPr/>
        <w:t>H07: corregir 1166 y regenerar Word y PDF.</w:t>
      </w:r>
    </w:p>
    <w:p>
      <w:pPr>
        <w:pStyle w:val="ListBullet"/>
      </w:pPr>
      <w:r>
        <w:rPr/>
        <w:t>H08: completar sources-1168.json y sources-1176.json.</w:t>
      </w:r>
    </w:p>
    <w:p>
      <w:pPr>
        <w:pStyle w:val="ListBullet"/>
      </w:pPr>
      <w:r>
        <w:rPr/>
        <w:t>H10: documentar cómo regenerar el token de Cloudflare si se pierde.</w:t>
      </w:r>
    </w:p>
    <w:p>
      <w:pPr>
        <w:pStyle w:val="ListBullet"/>
      </w:pPr>
      <w:r>
        <w:rPr/>
        <w:t>H16: en los refresh, priorizar el comparativo contra el publicado (tanda 2: los 3 publicados previos tenían errores relevantes).</w:t>
      </w:r>
    </w:p>
    <w:p>
      <w:pPr>
        <w:pStyle w:val="ListBullet"/>
      </w:pPr>
      <w:r>
        <w:rPr/>
        <w:t>H27: todo hash que se pase entre bots indica el algoritmo (sha256 o md5).</w:t>
      </w:r>
    </w:p>
    <w:p>
      <w:pPr>
        <w:pStyle w:val="ListBullet"/>
      </w:pPr>
      <w:r>
        <w:rPr/>
        <w:t>H28: la revisión de seguridad puede frenar un deploy del Librarian; se resuelve con el reintento aprobado.</w:t>
      </w:r>
    </w:p>
    <w:p>
      <w:pPr>
        <w:pStyle w:val="ListBullet"/>
      </w:pPr>
      <w:r>
        <w:rPr/>
        <w:t>Aclaración: el nombre visible de un informe en el sitio sale del frontmatter (</w:t>
      </w:r>
      <w:r>
        <w:rPr>
          <w:rFonts w:ascii="Consolas" w:hAnsi="Consolas"/>
          <w:color w:val="8B1E3F"/>
          <w:sz w:val="19"/>
        </w:rPr>
        <w:t>name</w:t>
      </w:r>
      <w:r>
        <w:rPr/>
        <w:t xml:space="preserve">, por ejemplo «RINCÓN WEST» con tilde); </w:t>
      </w:r>
      <w:r>
        <w:rPr>
          <w:rFonts w:ascii="Consolas" w:hAnsi="Consolas"/>
          <w:color w:val="8B1E3F"/>
          <w:sz w:val="19"/>
        </w:rPr>
        <w:t>--name</w:t>
      </w:r>
      <w:r>
        <w:rPr/>
        <w:t xml:space="preserve"> de </w:t>
      </w:r>
      <w:r>
        <w:rPr>
          <w:rFonts w:ascii="Consolas" w:hAnsi="Consolas"/>
          <w:color w:val="8B1E3F"/>
          <w:sz w:val="19"/>
        </w:rPr>
        <w:t>publish_to_site.py</w:t>
      </w:r>
      <w:r>
        <w:rPr/>
        <w:t xml:space="preserve"> solo define los nombres de archivo, que van sin tilde. No es una falla.</w:t>
      </w:r>
    </w:p>
    <w:p>
      <w:pPr>
        <w:pStyle w:val="ListBullet"/>
      </w:pPr>
      <w:r>
        <w:rPr/>
        <w:t>Estándar vigente del Researcher: memory/fuentes-{id}.md más sources-{id}.json.</w:t>
      </w:r>
    </w:p>
    <w:p>
      <w:r>
        <w:br w:type="page"/>
      </w:r>
    </w:p>
    <w:p>
      <w:pPr>
        <w:pStyle w:val="Heading1"/>
      </w:pPr>
      <w:r>
        <w:t>D) Decisiones pendientes</w:t>
      </w:r>
    </w:p>
    <w:p>
      <w:pPr>
        <w:pStyle w:val="ListBullet"/>
      </w:pPr>
      <w:r>
        <w:rPr/>
        <w:t>H11: restringir el sitio por email. Requiere activar Zero Trust, agregar al token el permiso Account, Access: Apps and Policies, Edit, y el email del socio.</w:t>
      </w:r>
    </w:p>
    <w:p>
      <w:r>
        <w:br w:type="page"/>
      </w:r>
    </w:p>
    <w:p>
      <w:pPr>
        <w:pStyle w:val="Heading1"/>
      </w:pPr>
      <w:r>
        <w:t>E) Historial de resueltos</w:t>
      </w:r>
    </w:p>
    <w:p>
      <w:pPr>
        <w:pStyle w:val="ListBullet"/>
      </w:pPr>
      <w:r>
        <w:rPr/>
        <w:t>2026-10-30, H13: near-duplicados Río Grande 1056 y 1390, y Arizaro, verificados como proyectos distintos.</w:t>
      </w:r>
    </w:p>
    <w:p>
      <w:pPr>
        <w:pStyle w:val="ListBullet"/>
      </w:pPr>
      <w:r>
        <w:rPr/>
        <w:t>2026-10-30: decisión sobre 1082 tomada por Marcelo (informe completo con huecos).</w:t>
      </w:r>
    </w:p>
    <w:p>
      <w:pPr>
        <w:pStyle w:val="ListBullet"/>
      </w:pPr>
      <w:r>
        <w:rPr/>
        <w:t>2026-10-30, H09: README de scripts actualizado (token desde una variable de entorno o un archivo local).</w:t>
      </w:r>
    </w:p>
    <w:p>
      <w:pPr>
        <w:pStyle w:val="ListBullet"/>
      </w:pPr>
      <w:r>
        <w:rPr/>
        <w:t>2026-10-30, H12: guía maestra v2.2 con las tandas 1 y 2 en la sección 13 y este documento como Anexo I.</w:t>
      </w:r>
    </w:p>
    <w:p>
      <w:pPr>
        <w:pStyle w:val="ListBullet"/>
      </w:pPr>
      <w:r>
        <w:rPr/>
        <w:t>Drive: sin incidentes abiertos.</w:t>
      </w:r>
    </w:p>
    <w:p>
      <w:pPr>
        <w:pStyle w:val="ListBullet"/>
      </w:pPr>
      <w:r>
        <w:rPr/>
        <w:t>2026-10-30, tanda 2 cerrada: 1177, 1091 y 1087 (refresh) y 1082 (generate) publicados en borrador; 1063 descartado.</w:t>
      </w:r>
    </w:p>
    <w:p>
      <w:pPr>
        <w:pStyle w:val="ListBullet"/>
      </w:pPr>
      <w:r>
        <w:rPr/>
        <w:t>2026-10-30, H17 y H18: guía maestra v2.3 (sección 6.7 corregida y tanda 2 en la sección 13.1).</w:t>
      </w:r>
    </w:p>
    <w:p>
      <w:pPr>
        <w:pStyle w:val="ListBullet"/>
      </w:pPr>
      <w:r>
        <w:rPr/>
        <w:t>2026-10-30, tanda 3 cerrada: 1187, 1191, 1190 y 1189 (generate) y 1074 (refresh) publicados en borrador; 24 informes en el sitio.</w:t>
      </w:r>
    </w:p>
    <w:p>
      <w:pPr>
        <w:pStyle w:val="ListBullet"/>
      </w:pPr>
      <w:r>
        <w:rPr/>
        <w:t>2026-10-30, H26: atribución del proceso participativo del 11/02/2025 corregida en 1074 antes de publicar.</w:t>
      </w:r>
    </w:p>
    <w:p>
      <w:pPr>
        <w:pStyle w:val="ListBullet"/>
      </w:pPr>
      <w:r>
        <w:rPr/>
        <w:t>2026-10-30, H27 y H29: guía maestra v2.4 (regla de hashes con algoritmo y tanda 3 en la sección 13.1).</w:t>
      </w:r>
    </w:p>
    <w:p>
      <w:pPr>
        <w:pStyle w:val="ListBullet"/>
      </w:pPr>
      <w:r>
        <w:rPr/>
        <w:t>2026-10-30, H30: guía maestra v2.4.1, con los datos verificados por los informes en lugar de los de ficha (1190, 1191, 1189, 1187 y 1177) y regla 12 de la sección 6.9.</w:t>
      </w:r>
    </w:p>
    <w:sectPr w:rsidR="00FC693F" w:rsidRPr="0006063C" w:rsidSect="00034616">
      <w:footerReference w:type="default" r:id="rId9"/>
      <w:headerReference w:type="default" r:id="rId10"/>
      <w:pgSz w:w="11906" w:h="16838"/>
      <w:pgMar w:top="1247"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8"/>
      </w:rPr>
      <w:t xml:space="preserve">Página </w:t>
    </w:r>
    <w:r>
      <w:rPr>
        <w:color w:val="595959"/>
        <w:sz w:val="18"/>
      </w:rPr>
      <w:fldChar w:fldCharType="begin"/>
    </w:r>
    <w:r>
      <w:rPr>
        <w:color w:val="595959"/>
        <w:sz w:val="18"/>
      </w:rPr>
      <w:instrText xml:space="preserve"> PAGE </w:instrText>
    </w:r>
    <w:r>
      <w:rPr>
        <w:color w:val="595959"/>
        <w:sz w:val="18"/>
      </w:rPr>
      <w:fldChar w:fldCharType="separate"/>
    </w:r>
    <w:r>
      <w:rPr>
        <w:color w:val="595959"/>
        <w:sz w:val="18"/>
      </w:rPr>
      <w:t>1</w:t>
    </w:r>
    <w:r>
      <w:rPr>
        <w:color w:val="595959"/>
        <w:sz w:val="18"/>
      </w:rPr>
      <w:fldChar w:fldCharType="end"/>
    </w:r>
    <w:r>
      <w:rPr>
        <w:color w:val="595959"/>
        <w:sz w:val="18"/>
      </w:rPr>
      <w:t xml:space="preserve"> de </w:t>
    </w:r>
    <w:r>
      <w:rPr>
        <w:color w:val="595959"/>
        <w:sz w:val="18"/>
      </w:rPr>
      <w:fldChar w:fldCharType="begin"/>
    </w:r>
    <w:r>
      <w:rPr>
        <w:color w:val="595959"/>
        <w:sz w:val="18"/>
      </w:rPr>
      <w:instrText xml:space="preserve"> NUMPAGES </w:instrText>
    </w:r>
    <w:r>
      <w:rPr>
        <w:color w:val="595959"/>
        <w:sz w:val="18"/>
      </w:rPr>
      <w:fldChar w:fldCharType="separate"/>
    </w:r>
    <w:r>
      <w:rPr>
        <w:color w:val="595959"/>
        <w:sz w:val="18"/>
      </w:rPr>
      <w:t>1</w:t>
    </w:r>
    <w:r>
      <w:rPr>
        <w:color w:val="59595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Guía maestra de la arquitectura Qhawana | v2.1 | 30/10/2026, 17:40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es-AR" w:eastAsia="es-AR" w:bidi="es-AR"/>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Calibri" w:hAnsi="Calibri" w:eastAsia="Calibri" w:cs="Calibri"/>
      <w:b/>
      <w:bCs/>
      <w:i w:val="0"/>
      <w:color w:val="1F3A5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Calibri" w:hAnsi="Calibri" w:eastAsia="Calibri" w:cs="Calibri"/>
      <w:b/>
      <w:bCs/>
      <w:i w:val="0"/>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Calibri" w:hAnsi="Calibri" w:eastAsia="Calibri" w:cs="Calibri"/>
      <w:b/>
      <w:bCs/>
      <w:i w:val="0"/>
      <w:color w:val="2E5C8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Calibri" w:hAnsi="Calibri" w:eastAsia="Calibri" w:cs="Calibri"/>
      <w:b/>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20"/>
    </w:pPr>
    <w:rPr>
      <w:rFonts w:ascii="Calibri" w:hAnsi="Calibri" w:eastAsia="Calibri" w:cs="Calibri"/>
      <w:b w:val="0"/>
      <w:i w:val="0"/>
      <w:iCs/>
      <w:color w:val="59595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354" w:val="right" w:leader="dot"/>
      </w:tabs>
      <w:spacing w:after="20"/>
      <w:ind w:left="0"/>
    </w:pPr>
    <w:rPr>
      <w:rFonts w:ascii="Calibri" w:hAnsi="Calibri" w:eastAsia="Calibri" w:cs="Calibri"/>
      <w:b/>
      <w:sz w:val="21"/>
    </w:rPr>
  </w:style>
  <w:style w:type="paragraph" w:customStyle="1" w:styleId="TOC2">
    <w:name w:val="TOC 2"/>
    <w:basedOn w:val="Normal"/>
    <w:pPr>
      <w:tabs>
        <w:tab w:pos="9354" w:val="right" w:leader="dot"/>
      </w:tabs>
      <w:spacing w:after="20"/>
      <w:ind w:left="340"/>
    </w:pPr>
    <w:rPr>
      <w:rFonts w:ascii="Calibri" w:hAnsi="Calibri" w:eastAsia="Calibri" w:cs="Calibri"/>
      <w:b w:val="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yperlink" Target="https://informes-qhawana.pages.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maestra de la arquitectura Qhawana de informes mineros</dc:title>
  <dc:subject>Replicar desde cero el equipo de 7 bots, el flujo de informes, Word/PDF, comparativo y sitio HTML</dc:subject>
  <dc:creator>Marcelo Villanueva</dc:creator>
  <cp:keywords>Qhawana; informes mineros; Grok Bot; guía</cp:keywords>
  <dc:description>generated by python-docx</dc:description>
  <cp:lastModifiedBy/>
  <cp:revision>1</cp:revision>
  <dcterms:created xsi:type="dcterms:W3CDTF">2026-10-30T14:00:00Z</dcterms:created>
  <dcterms:modified xsi:type="dcterms:W3CDTF">2013-12-23T23:15:00Z</dcterms:modified>
  <cp:category/>
  <dc:language>es-AR</dc:language>
</cp:coreProperties>
</file>